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DB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w:t>
      </w:r>
      <w:r>
        <w:rPr>
          <w:rFonts w:hint="default" w:ascii="Times New Roman" w:hAnsi="Times New Roman" w:cs="Times New Roman"/>
          <w:b/>
          <w:sz w:val="28"/>
          <w:szCs w:val="28"/>
          <w:lang w:val="en-IN"/>
        </w:rPr>
        <w:t>o</w:t>
      </w:r>
      <w:r>
        <w:rPr>
          <w:rFonts w:ascii="Times New Roman" w:hAnsi="Times New Roman" w:cs="Times New Roman"/>
          <w:b/>
          <w:sz w:val="28"/>
          <w:szCs w:val="28"/>
        </w:rPr>
        <w:t xml:space="preserve">f Probiotics </w:t>
      </w:r>
      <w:r>
        <w:rPr>
          <w:rFonts w:hint="default" w:ascii="Times New Roman" w:hAnsi="Times New Roman" w:cs="Times New Roman"/>
          <w:b/>
          <w:sz w:val="28"/>
          <w:szCs w:val="28"/>
          <w:lang w:val="en-IN"/>
        </w:rPr>
        <w:t>a</w:t>
      </w:r>
      <w:r>
        <w:rPr>
          <w:rFonts w:ascii="Times New Roman" w:hAnsi="Times New Roman" w:cs="Times New Roman"/>
          <w:b/>
          <w:sz w:val="28"/>
          <w:szCs w:val="28"/>
        </w:rPr>
        <w:t xml:space="preserve">nd </w:t>
      </w:r>
      <w:r>
        <w:rPr>
          <w:rFonts w:hint="default" w:ascii="Times New Roman" w:hAnsi="Times New Roman" w:cs="Times New Roman"/>
          <w:b/>
          <w:sz w:val="28"/>
          <w:szCs w:val="28"/>
          <w:lang w:val="en-IN"/>
        </w:rPr>
        <w:t>f</w:t>
      </w:r>
      <w:r>
        <w:rPr>
          <w:rFonts w:ascii="Times New Roman" w:hAnsi="Times New Roman" w:cs="Times New Roman"/>
          <w:b/>
          <w:sz w:val="28"/>
          <w:szCs w:val="28"/>
        </w:rPr>
        <w:t xml:space="preserve">eed </w:t>
      </w:r>
      <w:r>
        <w:rPr>
          <w:rFonts w:hint="default" w:ascii="Times New Roman" w:hAnsi="Times New Roman" w:cs="Times New Roman"/>
          <w:b/>
          <w:sz w:val="28"/>
          <w:szCs w:val="28"/>
          <w:lang w:val="en-IN"/>
        </w:rPr>
        <w:t>s</w:t>
      </w:r>
      <w:r>
        <w:rPr>
          <w:rFonts w:ascii="Times New Roman" w:hAnsi="Times New Roman" w:cs="Times New Roman"/>
          <w:b/>
          <w:sz w:val="28"/>
          <w:szCs w:val="28"/>
        </w:rPr>
        <w:t xml:space="preserve">upplements </w:t>
      </w:r>
      <w:r>
        <w:rPr>
          <w:rFonts w:hint="default" w:ascii="Times New Roman" w:hAnsi="Times New Roman" w:cs="Times New Roman"/>
          <w:b/>
          <w:sz w:val="28"/>
          <w:szCs w:val="28"/>
          <w:lang w:val="en-IN"/>
        </w:rPr>
        <w:t>o</w:t>
      </w:r>
      <w:r>
        <w:rPr>
          <w:rFonts w:ascii="Times New Roman" w:hAnsi="Times New Roman" w:cs="Times New Roman"/>
          <w:b/>
          <w:sz w:val="28"/>
          <w:szCs w:val="28"/>
        </w:rPr>
        <w:t xml:space="preserve">n </w:t>
      </w:r>
      <w:r>
        <w:rPr>
          <w:rFonts w:hint="default" w:ascii="Times New Roman" w:hAnsi="Times New Roman" w:cs="Times New Roman"/>
          <w:b/>
          <w:sz w:val="28"/>
          <w:szCs w:val="28"/>
          <w:lang w:val="en-IN"/>
        </w:rPr>
        <w:t>R</w:t>
      </w:r>
      <w:r>
        <w:rPr>
          <w:rFonts w:ascii="Times New Roman" w:hAnsi="Times New Roman" w:cs="Times New Roman"/>
          <w:b/>
          <w:sz w:val="28"/>
          <w:szCs w:val="28"/>
        </w:rPr>
        <w:t xml:space="preserve">unning Mortality Syndrome (RMS) </w:t>
      </w:r>
      <w:r>
        <w:rPr>
          <w:rFonts w:hint="default" w:ascii="Times New Roman" w:hAnsi="Times New Roman" w:cs="Times New Roman"/>
          <w:b/>
          <w:sz w:val="28"/>
          <w:szCs w:val="28"/>
          <w:lang w:val="en-IN"/>
        </w:rPr>
        <w:t>i</w:t>
      </w:r>
      <w:r>
        <w:rPr>
          <w:rFonts w:ascii="Times New Roman" w:hAnsi="Times New Roman" w:cs="Times New Roman"/>
          <w:b/>
          <w:sz w:val="28"/>
          <w:szCs w:val="28"/>
        </w:rPr>
        <w:t xml:space="preserve">n </w:t>
      </w:r>
      <w:r>
        <w:rPr>
          <w:rFonts w:hint="default" w:ascii="Times New Roman" w:hAnsi="Times New Roman"/>
          <w:b/>
          <w:sz w:val="28"/>
          <w:szCs w:val="28"/>
        </w:rPr>
        <w:t>Pacific whiteleg shrimp</w:t>
      </w:r>
      <w:r>
        <w:rPr>
          <w:rFonts w:ascii="Times New Roman" w:hAnsi="Times New Roman" w:cs="Times New Roman"/>
          <w:b/>
          <w:sz w:val="28"/>
          <w:szCs w:val="28"/>
        </w:rPr>
        <w:t xml:space="preserve"> (Litopenaeus Vannamei, Boone, 1931) </w:t>
      </w:r>
      <w:r>
        <w:rPr>
          <w:rFonts w:hint="default" w:ascii="Times New Roman" w:hAnsi="Times New Roman" w:cs="Times New Roman"/>
          <w:b/>
          <w:sz w:val="28"/>
          <w:szCs w:val="28"/>
          <w:lang w:val="en-IN"/>
        </w:rPr>
        <w:t>c</w:t>
      </w:r>
      <w:r>
        <w:rPr>
          <w:rFonts w:ascii="Times New Roman" w:hAnsi="Times New Roman" w:cs="Times New Roman"/>
          <w:b/>
          <w:sz w:val="28"/>
          <w:szCs w:val="28"/>
        </w:rPr>
        <w:t xml:space="preserve">ulture </w:t>
      </w:r>
      <w:r>
        <w:rPr>
          <w:rFonts w:hint="default" w:ascii="Times New Roman" w:hAnsi="Times New Roman" w:cs="Times New Roman"/>
          <w:b/>
          <w:sz w:val="28"/>
          <w:szCs w:val="28"/>
          <w:lang w:val="en-IN"/>
        </w:rPr>
        <w:t>i</w:t>
      </w:r>
      <w:r>
        <w:rPr>
          <w:rFonts w:ascii="Times New Roman" w:hAnsi="Times New Roman" w:cs="Times New Roman"/>
          <w:b/>
          <w:sz w:val="28"/>
          <w:szCs w:val="28"/>
        </w:rPr>
        <w:t>n Andhra Pradesh</w:t>
      </w:r>
    </w:p>
    <w:p w14:paraId="1C1722C8">
      <w:pPr>
        <w:pStyle w:val="7"/>
        <w:spacing w:before="0" w:beforeAutospacing="0" w:after="0" w:afterAutospacing="0"/>
        <w:jc w:val="both"/>
        <w:rPr>
          <w:rStyle w:val="8"/>
          <w:color w:val="404040"/>
          <w:sz w:val="20"/>
          <w:szCs w:val="20"/>
        </w:rPr>
      </w:pPr>
    </w:p>
    <w:p w14:paraId="38BED73B">
      <w:pPr>
        <w:pStyle w:val="7"/>
        <w:spacing w:before="0" w:beforeAutospacing="0" w:after="0" w:afterAutospacing="0"/>
        <w:jc w:val="center"/>
        <w:rPr>
          <w:rStyle w:val="8"/>
          <w:color w:val="404040"/>
          <w:sz w:val="20"/>
          <w:szCs w:val="20"/>
          <w:vertAlign w:val="superscript"/>
        </w:rPr>
      </w:pPr>
      <w:r>
        <w:rPr>
          <w:rStyle w:val="8"/>
          <w:color w:val="404040"/>
          <w:sz w:val="20"/>
          <w:szCs w:val="20"/>
        </w:rPr>
        <w:t>Abdul Malik Jainulapudheen</w:t>
      </w:r>
      <w:r>
        <w:rPr>
          <w:rStyle w:val="8"/>
          <w:color w:val="404040"/>
          <w:sz w:val="20"/>
          <w:szCs w:val="20"/>
          <w:vertAlign w:val="superscript"/>
        </w:rPr>
        <w:t>1*</w:t>
      </w:r>
      <w:r>
        <w:rPr>
          <w:rStyle w:val="8"/>
          <w:color w:val="404040"/>
          <w:sz w:val="20"/>
          <w:szCs w:val="20"/>
        </w:rPr>
        <w:t>,</w:t>
      </w:r>
      <w:r>
        <w:rPr>
          <w:color w:val="404040"/>
          <w:sz w:val="20"/>
          <w:szCs w:val="20"/>
        </w:rPr>
        <w:t xml:space="preserve"> </w:t>
      </w:r>
      <w:r>
        <w:rPr>
          <w:rStyle w:val="8"/>
          <w:rFonts w:hint="default"/>
          <w:color w:val="404040"/>
          <w:sz w:val="20"/>
          <w:szCs w:val="20"/>
        </w:rPr>
        <w:t>Perumalla Papaiaha</w:t>
      </w:r>
      <w:r>
        <w:rPr>
          <w:rStyle w:val="8"/>
          <w:color w:val="404040"/>
          <w:sz w:val="20"/>
          <w:szCs w:val="20"/>
          <w:vertAlign w:val="superscript"/>
        </w:rPr>
        <w:t>2</w:t>
      </w:r>
      <w:r>
        <w:rPr>
          <w:rStyle w:val="8"/>
          <w:color w:val="404040"/>
          <w:sz w:val="20"/>
          <w:szCs w:val="20"/>
        </w:rPr>
        <w:t>,</w:t>
      </w:r>
      <w:r>
        <w:rPr>
          <w:color w:val="404040"/>
          <w:sz w:val="20"/>
          <w:szCs w:val="20"/>
        </w:rPr>
        <w:t xml:space="preserve"> </w:t>
      </w:r>
      <w:r>
        <w:rPr>
          <w:rStyle w:val="8"/>
          <w:color w:val="404040"/>
          <w:sz w:val="20"/>
          <w:szCs w:val="20"/>
        </w:rPr>
        <w:t>Ashok Prabhu.V</w:t>
      </w:r>
      <w:r>
        <w:rPr>
          <w:rStyle w:val="8"/>
          <w:color w:val="404040"/>
          <w:sz w:val="20"/>
          <w:szCs w:val="20"/>
          <w:vertAlign w:val="superscript"/>
        </w:rPr>
        <w:t>3</w:t>
      </w:r>
      <w:r>
        <w:rPr>
          <w:rStyle w:val="8"/>
          <w:color w:val="404040"/>
          <w:sz w:val="20"/>
          <w:szCs w:val="20"/>
        </w:rPr>
        <w:t>,</w:t>
      </w:r>
      <w:r>
        <w:rPr>
          <w:color w:val="404040"/>
          <w:sz w:val="20"/>
          <w:szCs w:val="20"/>
        </w:rPr>
        <w:t xml:space="preserve"> </w:t>
      </w:r>
      <w:r>
        <w:rPr>
          <w:rStyle w:val="8"/>
          <w:color w:val="404040"/>
          <w:sz w:val="20"/>
          <w:szCs w:val="20"/>
        </w:rPr>
        <w:t>Inayathullah.N</w:t>
      </w:r>
      <w:r>
        <w:rPr>
          <w:rStyle w:val="8"/>
          <w:color w:val="404040"/>
          <w:sz w:val="20"/>
          <w:szCs w:val="20"/>
          <w:vertAlign w:val="superscript"/>
        </w:rPr>
        <w:t>4</w:t>
      </w:r>
      <w:r>
        <w:rPr>
          <w:rStyle w:val="8"/>
          <w:color w:val="404040"/>
          <w:sz w:val="20"/>
          <w:szCs w:val="20"/>
        </w:rPr>
        <w:t>,</w:t>
      </w:r>
      <w:r>
        <w:rPr>
          <w:rStyle w:val="8"/>
          <w:rFonts w:hint="default"/>
          <w:color w:val="404040"/>
          <w:sz w:val="20"/>
          <w:szCs w:val="20"/>
          <w:lang w:val="en-IN"/>
        </w:rPr>
        <w:t xml:space="preserve"> </w:t>
      </w:r>
      <w:r>
        <w:rPr>
          <w:rStyle w:val="8"/>
          <w:color w:val="404040"/>
          <w:sz w:val="20"/>
          <w:szCs w:val="20"/>
        </w:rPr>
        <w:t>Srilaxmi.k</w:t>
      </w:r>
      <w:r>
        <w:rPr>
          <w:rStyle w:val="8"/>
          <w:color w:val="404040"/>
          <w:sz w:val="20"/>
          <w:szCs w:val="20"/>
          <w:vertAlign w:val="superscript"/>
        </w:rPr>
        <w:t>5</w:t>
      </w:r>
    </w:p>
    <w:p w14:paraId="1AFF7023">
      <w:pPr>
        <w:pStyle w:val="7"/>
        <w:spacing w:before="0" w:beforeAutospacing="0" w:after="0" w:afterAutospacing="0"/>
        <w:jc w:val="center"/>
        <w:rPr>
          <w:rStyle w:val="8"/>
          <w:b w:val="0"/>
          <w:bCs w:val="0"/>
          <w:color w:val="404040"/>
          <w:sz w:val="20"/>
          <w:szCs w:val="20"/>
        </w:rPr>
      </w:pPr>
    </w:p>
    <w:p w14:paraId="404FB781">
      <w:pPr>
        <w:pStyle w:val="7"/>
        <w:spacing w:before="0" w:beforeAutospacing="0" w:after="0" w:afterAutospacing="0"/>
        <w:jc w:val="center"/>
        <w:rPr>
          <w:rStyle w:val="8"/>
          <w:b w:val="0"/>
          <w:bCs w:val="0"/>
          <w:color w:val="404040"/>
          <w:sz w:val="20"/>
          <w:szCs w:val="20"/>
        </w:rPr>
      </w:pPr>
      <w:r>
        <w:rPr>
          <w:rStyle w:val="8"/>
          <w:b w:val="0"/>
          <w:bCs w:val="0"/>
          <w:color w:val="404040"/>
          <w:sz w:val="20"/>
          <w:szCs w:val="20"/>
        </w:rPr>
        <w:t xml:space="preserve">*Annamalai University, Faculty of Marine sciences, Centre of Advanced study in Marine biology, Parangipettai, Chidambaram, Tamil Nadu Email: </w:t>
      </w:r>
      <w:r>
        <w:fldChar w:fldCharType="begin"/>
      </w:r>
      <w:r>
        <w:instrText xml:space="preserve"> HYPERLINK "mailto:aquainayath76neyas@gmail.com" </w:instrText>
      </w:r>
      <w:r>
        <w:fldChar w:fldCharType="separate"/>
      </w:r>
      <w:r>
        <w:rPr>
          <w:rStyle w:val="6"/>
          <w:sz w:val="20"/>
          <w:szCs w:val="20"/>
        </w:rPr>
        <w:t>aquainayath76neyas@gmail.com</w:t>
      </w:r>
      <w:r>
        <w:rPr>
          <w:rStyle w:val="6"/>
          <w:sz w:val="20"/>
          <w:szCs w:val="20"/>
        </w:rPr>
        <w:fldChar w:fldCharType="end"/>
      </w:r>
    </w:p>
    <w:p w14:paraId="738D3A6B">
      <w:pPr>
        <w:pStyle w:val="7"/>
        <w:spacing w:before="0" w:beforeAutospacing="0" w:after="0" w:afterAutospacing="0"/>
        <w:jc w:val="center"/>
        <w:rPr>
          <w:rStyle w:val="8"/>
          <w:b w:val="0"/>
          <w:bCs w:val="0"/>
          <w:color w:val="404040"/>
          <w:sz w:val="20"/>
          <w:szCs w:val="20"/>
        </w:rPr>
      </w:pPr>
    </w:p>
    <w:p w14:paraId="68C1D6EE">
      <w:pPr>
        <w:pStyle w:val="7"/>
        <w:spacing w:before="0" w:beforeAutospacing="0" w:after="0" w:afterAutospacing="0"/>
        <w:rPr>
          <w:rStyle w:val="8"/>
          <w:color w:val="404040"/>
          <w:sz w:val="20"/>
          <w:szCs w:val="20"/>
        </w:rPr>
      </w:pPr>
      <w:r>
        <w:rPr>
          <w:rStyle w:val="8"/>
          <w:color w:val="404040"/>
          <w:sz w:val="20"/>
          <w:szCs w:val="20"/>
        </w:rPr>
        <w:t>Abstract:</w:t>
      </w:r>
    </w:p>
    <w:p w14:paraId="40272808">
      <w:pPr>
        <w:pStyle w:val="7"/>
        <w:spacing w:before="0" w:beforeAutospacing="0" w:after="0" w:afterAutospacing="0"/>
        <w:jc w:val="both"/>
        <w:rPr>
          <w:b/>
          <w:bCs/>
          <w:color w:val="404040"/>
          <w:sz w:val="20"/>
          <w:szCs w:val="20"/>
        </w:rPr>
      </w:pPr>
      <w:r>
        <w:rPr>
          <w:sz w:val="20"/>
          <w:szCs w:val="20"/>
        </w:rPr>
        <w:t>This study evaluated the performance of shrimp culture in four ponds with a stocking density of 50 m², harvested on the 116th day of culture. Water quality parameters, including salinity (20–22 ppt), alkalinity (220–260), pH (7.9–8.5), ammonia (0.1–0.2 ppm), nitrite (0.1 ppm), and dissolved oxygen (5.4–6 ppm), were maintained within optimal ranges. Microbial colony counts varied, with yellow colonies ranging from 600 to 660 and green colonies from 70 to 180. Pond 1 achieved the highest survival rate (97%) and growth (33.5 g), followed by Pond A (95% survival, 10,374 kg production). In contrast, Pond 2 and Pond B exhibited lower survival rates (73% and 70%, respectively), reduced growth (21.8 g in Pond B), and higher feed conversion ratios (1.5 in Pond B, 1.48 in Pond 2). Pond 2 and Pond B also showed signs of Running Mortality Syndrome (RMS), including antennae cuts, reddish uropods, reddish-yellow hepatopancreas, and pale white bodies, with continuous daily mortalities. Pond 1 and Pond A, however, recorded no mortalities, attributed to the consistent use of specific probiotics. This study highlights the critical role of probiotics in enhancing survival, growth, and production while mitigating RMS in shrimp farming.</w:t>
      </w:r>
    </w:p>
    <w:p w14:paraId="0AFE71ED">
      <w:pPr>
        <w:spacing w:after="0" w:line="240" w:lineRule="auto"/>
        <w:jc w:val="both"/>
        <w:rPr>
          <w:rFonts w:ascii="Times New Roman" w:hAnsi="Times New Roman" w:eastAsia="Times New Roman" w:cs="Times New Roman"/>
          <w:sz w:val="20"/>
          <w:szCs w:val="20"/>
          <w:lang w:eastAsia="en-IN"/>
        </w:rPr>
      </w:pPr>
    </w:p>
    <w:p w14:paraId="22470C99">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b/>
          <w:sz w:val="20"/>
          <w:szCs w:val="20"/>
          <w:lang w:eastAsia="en-IN"/>
        </w:rPr>
        <w:t xml:space="preserve">Key words:  </w:t>
      </w:r>
      <w:r>
        <w:rPr>
          <w:rFonts w:ascii="Times New Roman" w:hAnsi="Times New Roman" w:eastAsia="Times New Roman" w:cs="Times New Roman"/>
          <w:sz w:val="20"/>
          <w:szCs w:val="20"/>
          <w:lang w:eastAsia="en-IN"/>
        </w:rPr>
        <w:t xml:space="preserve">RMS, shrimp culture, disease, </w:t>
      </w:r>
      <w:r>
        <w:rPr>
          <w:rFonts w:ascii="Times New Roman" w:hAnsi="Times New Roman" w:eastAsia="Times New Roman" w:cs="Times New Roman"/>
          <w:i/>
          <w:sz w:val="20"/>
          <w:szCs w:val="20"/>
          <w:lang w:eastAsia="en-IN"/>
        </w:rPr>
        <w:t xml:space="preserve">L.Vannamei </w:t>
      </w:r>
      <w:r>
        <w:rPr>
          <w:rFonts w:ascii="Times New Roman" w:hAnsi="Times New Roman" w:eastAsia="Times New Roman" w:cs="Times New Roman"/>
          <w:sz w:val="20"/>
          <w:szCs w:val="20"/>
          <w:lang w:eastAsia="en-IN"/>
        </w:rPr>
        <w:t xml:space="preserve">, Andhra Pradesh , probiotic </w:t>
      </w:r>
    </w:p>
    <w:p w14:paraId="6EEA82BA">
      <w:pPr>
        <w:spacing w:after="0" w:line="240" w:lineRule="auto"/>
        <w:jc w:val="both"/>
        <w:rPr>
          <w:rFonts w:ascii="Times New Roman" w:hAnsi="Times New Roman" w:eastAsia="Times New Roman" w:cs="Times New Roman"/>
          <w:sz w:val="20"/>
          <w:szCs w:val="20"/>
          <w:lang w:eastAsia="en-IN"/>
        </w:rPr>
      </w:pPr>
    </w:p>
    <w:p w14:paraId="05761B8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Introduction</w:t>
      </w:r>
    </w:p>
    <w:p w14:paraId="304F63A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Shrimp farming has evolved from a small-scale business in Southeast Asia into a global industry, surpassing other aquaculture farming systems in significance (Joseph Selvin and Ninawe Lipton, 2009). The remarkable growth of shrimp farming has established it as a major player in the global shrimp industry, playing a vital role in providing quality nutrition, generating employment, and fostering rural development.</w:t>
      </w:r>
    </w:p>
    <w:p w14:paraId="3E75B72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In India, Andhra Pradesh boasts the second-largest brackish water area, covering approximately 37,560 hectares, second only to West Bengal. The state’s extensive coastline spans 972 kilometers across nine districts: Srikakulam, Vijayanagaram, Visakhapatnam, East Godavari, West Godavari, Krishna, Guntur, Prakasam, and Sri Potti Sri Ramulu Nellore. Despite its potential, shrimp farming in the region faces challenges, including Running Mortality Syndrome (RMS). This syndrome causes low-level mortalities during the culture period, leading to reduced survival rates and production. Since 2011, RMS has been widely prevalent in vannamei shrimp farms across Andhra Pradesh and Tamil Nadu, posing a significant threat to the industry.</w:t>
      </w:r>
    </w:p>
    <w:p w14:paraId="4BBE228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The affected shrimp show patches of whitish musculature in the junctions of 2</w:t>
      </w:r>
      <w:r>
        <w:rPr>
          <w:rFonts w:ascii="Times New Roman" w:hAnsi="Times New Roman" w:cs="Times New Roman"/>
          <w:color w:val="000000"/>
          <w:sz w:val="20"/>
          <w:szCs w:val="20"/>
          <w:shd w:val="clear" w:color="auto" w:fill="FFFFFF"/>
          <w:vertAlign w:val="superscript"/>
        </w:rPr>
        <w:t>nd</w:t>
      </w:r>
      <w:r>
        <w:rPr>
          <w:rFonts w:ascii="Times New Roman" w:hAnsi="Times New Roman" w:cs="Times New Roman"/>
          <w:color w:val="000000"/>
          <w:sz w:val="20"/>
          <w:szCs w:val="20"/>
          <w:shd w:val="clear" w:color="auto" w:fill="FFFFFF"/>
        </w:rPr>
        <w:t> and 4</w:t>
      </w:r>
      <w:r>
        <w:rPr>
          <w:rFonts w:ascii="Times New Roman" w:hAnsi="Times New Roman" w:cs="Times New Roman"/>
          <w:color w:val="000000"/>
          <w:sz w:val="20"/>
          <w:szCs w:val="20"/>
          <w:shd w:val="clear" w:color="auto" w:fill="FFFFFF"/>
          <w:vertAlign w:val="superscript"/>
        </w:rPr>
        <w:t>th</w:t>
      </w:r>
      <w:r>
        <w:rPr>
          <w:rFonts w:ascii="Times New Roman" w:hAnsi="Times New Roman" w:cs="Times New Roman"/>
          <w:color w:val="000000"/>
          <w:sz w:val="20"/>
          <w:szCs w:val="20"/>
          <w:shd w:val="clear" w:color="auto" w:fill="FFFFFF"/>
        </w:rPr>
        <w:t xml:space="preserve"> abdominal segments as a clinical sign with continuous low-level mortalities. This condition results a small percent shrimp mortality in the affected pond on daily basis. As the mortality continues on daily basis till the rest of the culture period, it is called as “Running Mortality Syndrome (RMS)”. </w:t>
      </w:r>
      <w:r>
        <w:rPr>
          <w:rFonts w:ascii="Times New Roman" w:hAnsi="Times New Roman" w:cs="Times New Roman"/>
          <w:sz w:val="20"/>
          <w:szCs w:val="20"/>
        </w:rPr>
        <w:t>The infected shrimp pond exhibits perpetuating mortality throughout the culture period and is not interdependent on water quality parameters. This condition is termed Running Mortality Syndrome (RMS) in shrimp (Alavandi et al., 2019). It is correlated with both mortality and morbidity, which eventually leads to lower productivity (Rao and Satyanarayana, 2020).</w:t>
      </w:r>
    </w:p>
    <w:p w14:paraId="0AF4D20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Usually the RMS started after 35–40 days of culture (DOC) with low mortalities and as the culture progressed, the mortality rate also increased and the problem becoming acute at around 90 DOC and the farmers were forced to prematurely harvest the crops. </w:t>
      </w:r>
      <w:r>
        <w:rPr>
          <w:rFonts w:ascii="Times New Roman" w:hAnsi="Times New Roman" w:cs="Times New Roman"/>
          <w:sz w:val="20"/>
          <w:szCs w:val="20"/>
        </w:rPr>
        <w:t xml:space="preserve"> Infectious diseases are a common factor in shrimp culture, particularly in Andhra Pradesh and Tamil Nadu (Rao and Satyanarayana, 2020).  Environmental factors trigger the expeditious multiplication of pathogens that are already in lower concentrations in the habitat (Johnson et al., 2010). Most of the outbreaks in culture waters are reported to be associated with </w:t>
      </w:r>
      <w:r>
        <w:rPr>
          <w:rFonts w:ascii="Times New Roman" w:hAnsi="Times New Roman" w:cs="Times New Roman"/>
          <w:i/>
          <w:iCs/>
          <w:sz w:val="20"/>
          <w:szCs w:val="20"/>
        </w:rPr>
        <w:t xml:space="preserve">Vibrio </w:t>
      </w:r>
      <w:r>
        <w:rPr>
          <w:rFonts w:ascii="Times New Roman" w:hAnsi="Times New Roman" w:cs="Times New Roman"/>
          <w:sz w:val="20"/>
          <w:szCs w:val="20"/>
        </w:rPr>
        <w:t>populations and have led to a loss of one billion USD $ in the Asia-Pacific region (Sung et al., 1999; FAO, 2013).</w:t>
      </w:r>
    </w:p>
    <w:p w14:paraId="141A564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shrimp aquaculture in India suffered significantly due to disease infections. In India, the gross economic losses due to shrimp diseases were estimated at more than Rs.1,000 crores in 2006-2008 and loss continues even now (kalaimani et al ., 2013). The threat of the diseases continued due to poor practicing of biosecurity measures like Pond preparations, water filtration and disinfection before and after pumping water in to the pond, not arranging bird and crab fencing, procuring the seed from unregistered hatcheries which supply non SPF seed. The diseases may be caused by various etiological agents such as viruses, bacteria, fungi, parasites, algal toxins, nutritional deficiency or the adverse environment. The present study reports the incidence of RMS in Andhra Pradesh also find solution to overcome the RMS problem. </w:t>
      </w:r>
    </w:p>
    <w:p w14:paraId="240AB9B6">
      <w:pPr>
        <w:autoSpaceDE w:val="0"/>
        <w:autoSpaceDN w:val="0"/>
        <w:adjustRightInd w:val="0"/>
        <w:spacing w:after="0" w:line="240" w:lineRule="auto"/>
        <w:jc w:val="both"/>
        <w:rPr>
          <w:rFonts w:ascii="Times New Roman" w:hAnsi="Times New Roman" w:cs="Times New Roman"/>
          <w:b/>
          <w:sz w:val="20"/>
          <w:szCs w:val="20"/>
        </w:rPr>
      </w:pPr>
    </w:p>
    <w:p w14:paraId="5D753BE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Materials and Methods</w:t>
      </w:r>
    </w:p>
    <w:p w14:paraId="095F4E5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Description of the study area:</w:t>
      </w:r>
      <w:r>
        <w:rPr>
          <w:rFonts w:ascii="Times New Roman" w:hAnsi="Times New Roman" w:cs="Times New Roman"/>
          <w:sz w:val="20"/>
          <w:szCs w:val="20"/>
        </w:rPr>
        <w:t xml:space="preserve"> </w:t>
      </w:r>
    </w:p>
    <w:p w14:paraId="740114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The first site, SCS Aqua Farms, is located in Mypadu, Nellore District, while the second site is situated in Beeramgunta, Ongole District. At both locations, two ponds were selected for the study.</w:t>
      </w:r>
    </w:p>
    <w:p w14:paraId="3C3F98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 SCS Aqua Farms, ponds were managed across two sites: Site 1 (Pond 1 and Pond 2) and Site 2 (Pond A and Pond B). Each pond had a water spread area of 0.7 hectares. Comprehensive pond preparation and biosecurity measures were carried out in accordance with established protocols (Gunalan et al., 2011).</w:t>
      </w:r>
    </w:p>
    <w:p w14:paraId="545532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Pond 1 and Pond A, following pond preparation, a disinfection process was carried out using a Trooper solution. A total of 7 kg of Trooper disinfectant per pond was evenly sprayed across the soil using an agri-auto spray machine. The solution was prepared by first mixing 1 kg of Trooper (A) with 25 liters of water, allowing it to sit for 10 minutes, and then slowly adding Trooper (B). After mixing, the solution was left undisturbed for 4 hours, ensuring no exposure to sunlight. Once ready, the solution was sprayed across the ponds. Additionally, all dykes, outlets, and inlets were thoroughly sprayed with the Trooper disinfectant to prevent EHP (Enterocytozoon hepatopenaei) contamination.</w:t>
      </w:r>
    </w:p>
    <w:p w14:paraId="5A655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After the initial pumping of water, the water was treated with 10 kg of Trooper (used as an alternative to chlorine) for one meter of water depth. The application of Trooper was carefully managed to ensure it did not negatively impact the existing algae blooms (The product it won’t disturb the algal boom). Following 36 to 48 hours of treatment, the pond was ready for stocking. To maintain optimal water quality, a maintenance dose of 3 kg of Trooper was applied every 10 days after stocking, prior to probiotic applications, and this practice was consistently followed until harvest.</w:t>
      </w:r>
    </w:p>
    <w:p w14:paraId="1B1CCE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From 3 DOC (Days of Culture) onwards until harvest, water probiotics (Bio Treat) were applied every 10 days. Starting from 30 DOC until harvest, soil probiotics (Bottom Care) were also applied every 10 days. Additionally, from 30 DOC onwards, GUT probiotics (GUT Rider) were mixed with feed at a rate of 10g/kg and administered during two meals every alternate day. From 40 DOC onwards, chelated minerals (VIGOURMIN) were added as a feed supplement at a rate of 10g/kg, mixed with feed and given during two meals every alternate day, continuing until harvest.</w:t>
      </w:r>
    </w:p>
    <w:p w14:paraId="3C282C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Pond 2 and Pond B, after pumping, a chlorination process was carried out. Commercially available probiotics were used for both water and soil, while gut probiotics and mineral supplements were administered along with the feed.  The microbial population in the ponds was monitored every 10 days. Based on the levels of beneficial bacteria, the appropriate dosage of probiotics was applied to the pond to maintain optimal water and soil conditions.</w:t>
      </w:r>
    </w:p>
    <w:p w14:paraId="5FB450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Litopenaeus vannamei seeds (Post-Larval Stage 10), acclimated to a salinity level of 25 ppt and confirmed negative for White Spot Syndrome Virus (WSSV) through Polymerase Chain Reaction (PCR) assay, were sourced from Winner Hatchery, Marakannam for Site 1 and from Sai Druga Hatcheries ,Ongole for Site 2.</w:t>
      </w:r>
    </w:p>
    <w:p w14:paraId="0E0F46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For seed packing and transportation, the methods described by Gunalan et al., 2011 were followed. The seeds were transported to the farm site, and the bags were floated in the pond water for some time to allow the temperature to adjust. Gradually, pond water was added to the bags to acclimatize the seeds to the salinity and pH levels of the pond. After this adjustment, the seeds were slowly released into the ponds (Gunalan et al., 2011, 2013). The stocking density was maintained at 50 shrimp per square meter (50/m²) for Ponds 1, 2, A, and B.</w:t>
      </w:r>
    </w:p>
    <w:p w14:paraId="07348C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Skreting feed was used until the shrimp reached 3 grams, after which Gargil feed was used until harvest. Feeding was done four times daily at 7 am, 10 am, 1 pm, and 4 pm. No water exchange was carried out during the entire culture period; however, water from a bore well was added at regular intervals to compensate for losses due to evaporation or soil seepage. Starting from the 30th day of culture (DOC), cast net sampling was conducted every 10 days to monitor the health and weight of the shrimp.</w:t>
      </w:r>
    </w:p>
    <w:p w14:paraId="60A8A0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water salinity, pH, temperature, and dissolved oxygen levels were measured using a hand refractometer, pH pen, thermometer, and dissolved oxygen meter, respectively. The ammonia and nutrient levels in the water samples were estimated by following the standard procedures outlined by Strickland &amp; Parsons (1972). </w:t>
      </w:r>
    </w:p>
    <w:p w14:paraId="0CCE0D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Aeration was provided throughout the entire culture period for all ponds. A total of 8 aerators (2 HP each) were installed for each culture pond. The aerators were strategically positioned to maximize the dissolution of dissolved oxygen (DO) into the pond water, ensuring a shrimp-friendly culture environment. The Feed Conversion Ratio (FCR) and Average Daily Growth (ADG) were calculated using the following formulas:</w:t>
      </w:r>
    </w:p>
    <w:p w14:paraId="558109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FCR = Total feed given (kg) / Total biomass gain (kg)</w:t>
      </w:r>
    </w:p>
    <w:p w14:paraId="355E45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ADG = (Final weight - Initial weight) / Culture period (days)</w:t>
      </w:r>
    </w:p>
    <w:p w14:paraId="1C9DB781">
      <w:pPr>
        <w:spacing w:after="0" w:line="240" w:lineRule="auto"/>
        <w:jc w:val="both"/>
        <w:rPr>
          <w:rFonts w:ascii="Times New Roman" w:hAnsi="Times New Roman" w:cs="Times New Roman"/>
          <w:b/>
          <w:sz w:val="20"/>
          <w:szCs w:val="20"/>
        </w:rPr>
      </w:pPr>
    </w:p>
    <w:p w14:paraId="3A21440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Results</w:t>
      </w:r>
    </w:p>
    <w:p w14:paraId="432481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stocking density for all ponds was set at 50 m², and harvesting was conducted on the 116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day of culture (Table 1). The average salinity was maintained between a maximum of 22 ppt and a minimum of 20 ppt. Alkalinity levels ranged from a maximum of 260 in Pond A to a minimum of 220 in Pond 1. pH variations across all ponds were recorded between 0.3 and 0.4, with the highest pH of 8.5 observed in Pond A. Ammonia levels were recorded at a minimum of 0.1 ppm in Pond 1, while the other ponds showed 0.2 ppm. Nitrite levels were consistently noted at 0.1 ppm in all ponds. Dissolved oxygen levels reached a maximum of 6 ppm in Pond A, with a minimum of 5.4 ppm recorded in Pond B. Microbial colony counts showed a maximum yellow colony count of 660 in Pond B and a minimum of 600 in Pond 1. For green colonies, the maximum count of 180 was recorded in Pond 2, while the minimum count of 70 was observed in Pond 1(Table :2).</w:t>
      </w:r>
    </w:p>
    <w:p w14:paraId="286F0BAF">
      <w:pPr>
        <w:spacing w:after="0" w:line="240" w:lineRule="auto"/>
        <w:jc w:val="center"/>
        <w:rPr>
          <w:rFonts w:ascii="Times New Roman" w:hAnsi="Times New Roman" w:cs="Times New Roman"/>
          <w:sz w:val="20"/>
          <w:szCs w:val="20"/>
        </w:rPr>
      </w:pPr>
    </w:p>
    <w:p w14:paraId="28768E2C">
      <w:pPr>
        <w:spacing w:after="0" w:line="240" w:lineRule="auto"/>
        <w:jc w:val="center"/>
        <w:rPr>
          <w:rFonts w:ascii="Times New Roman" w:hAnsi="Times New Roman" w:cs="Times New Roman"/>
          <w:sz w:val="20"/>
          <w:szCs w:val="20"/>
        </w:rPr>
      </w:pPr>
    </w:p>
    <w:p w14:paraId="39E923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1 shows the culture pond details</w:t>
      </w:r>
    </w:p>
    <w:tbl>
      <w:tblPr>
        <w:tblStyle w:val="3"/>
        <w:tblW w:w="5684" w:type="dxa"/>
        <w:jc w:val="center"/>
        <w:tblLayout w:type="autofit"/>
        <w:tblCellMar>
          <w:top w:w="0" w:type="dxa"/>
          <w:left w:w="108" w:type="dxa"/>
          <w:bottom w:w="0" w:type="dxa"/>
          <w:right w:w="108" w:type="dxa"/>
        </w:tblCellMar>
      </w:tblPr>
      <w:tblGrid>
        <w:gridCol w:w="1838"/>
        <w:gridCol w:w="916"/>
        <w:gridCol w:w="997"/>
        <w:gridCol w:w="997"/>
        <w:gridCol w:w="997"/>
      </w:tblGrid>
      <w:tr w14:paraId="27413293">
        <w:tblPrEx>
          <w:tblCellMar>
            <w:top w:w="0" w:type="dxa"/>
            <w:left w:w="108" w:type="dxa"/>
            <w:bottom w:w="0" w:type="dxa"/>
            <w:right w:w="108" w:type="dxa"/>
          </w:tblCellMar>
        </w:tblPrEx>
        <w:trPr>
          <w:trHeight w:val="300" w:hRule="atLeast"/>
          <w:jc w:val="center"/>
        </w:trPr>
        <w:tc>
          <w:tcPr>
            <w:tcW w:w="1838" w:type="dxa"/>
            <w:vMerge w:val="restart"/>
            <w:tcBorders>
              <w:top w:val="single" w:color="auto" w:sz="4" w:space="0"/>
              <w:left w:val="single" w:color="auto" w:sz="4" w:space="0"/>
              <w:bottom w:val="single" w:color="000000" w:sz="4" w:space="0"/>
              <w:right w:val="single" w:color="auto" w:sz="4" w:space="0"/>
            </w:tcBorders>
            <w:noWrap/>
            <w:vAlign w:val="center"/>
          </w:tcPr>
          <w:p w14:paraId="51A2CD62">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Details</w:t>
            </w:r>
          </w:p>
        </w:tc>
        <w:tc>
          <w:tcPr>
            <w:tcW w:w="1852" w:type="dxa"/>
            <w:gridSpan w:val="2"/>
            <w:tcBorders>
              <w:top w:val="single" w:color="auto" w:sz="4" w:space="0"/>
              <w:left w:val="nil"/>
              <w:bottom w:val="single" w:color="auto" w:sz="4" w:space="0"/>
              <w:right w:val="single" w:color="auto" w:sz="4" w:space="0"/>
            </w:tcBorders>
            <w:noWrap/>
            <w:vAlign w:val="bottom"/>
          </w:tcPr>
          <w:p w14:paraId="6DAE15B2">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Site 1</w:t>
            </w:r>
          </w:p>
        </w:tc>
        <w:tc>
          <w:tcPr>
            <w:tcW w:w="1994" w:type="dxa"/>
            <w:gridSpan w:val="2"/>
            <w:tcBorders>
              <w:top w:val="single" w:color="auto" w:sz="4" w:space="0"/>
              <w:left w:val="nil"/>
              <w:bottom w:val="single" w:color="auto" w:sz="4" w:space="0"/>
              <w:right w:val="single" w:color="auto" w:sz="4" w:space="0"/>
            </w:tcBorders>
            <w:noWrap/>
            <w:vAlign w:val="bottom"/>
          </w:tcPr>
          <w:p w14:paraId="4A83397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Site 2</w:t>
            </w:r>
          </w:p>
        </w:tc>
      </w:tr>
      <w:tr w14:paraId="332A17B0">
        <w:tblPrEx>
          <w:tblCellMar>
            <w:top w:w="0" w:type="dxa"/>
            <w:left w:w="108" w:type="dxa"/>
            <w:bottom w:w="0" w:type="dxa"/>
            <w:right w:w="108" w:type="dxa"/>
          </w:tblCellMar>
        </w:tblPrEx>
        <w:trPr>
          <w:trHeight w:val="300" w:hRule="atLeast"/>
          <w:jc w:val="center"/>
        </w:trPr>
        <w:tc>
          <w:tcPr>
            <w:tcW w:w="1838" w:type="dxa"/>
            <w:vMerge w:val="continue"/>
            <w:tcBorders>
              <w:top w:val="single" w:color="auto" w:sz="4" w:space="0"/>
              <w:left w:val="single" w:color="auto" w:sz="4" w:space="0"/>
              <w:bottom w:val="single" w:color="000000" w:sz="4" w:space="0"/>
              <w:right w:val="single" w:color="auto" w:sz="4" w:space="0"/>
            </w:tcBorders>
            <w:vAlign w:val="center"/>
          </w:tcPr>
          <w:p w14:paraId="0B3DF3CB">
            <w:pPr>
              <w:spacing w:after="0" w:line="240" w:lineRule="auto"/>
              <w:jc w:val="both"/>
              <w:rPr>
                <w:rFonts w:ascii="Times New Roman" w:hAnsi="Times New Roman" w:eastAsia="Times New Roman" w:cs="Times New Roman"/>
                <w:color w:val="000000"/>
                <w:sz w:val="20"/>
                <w:szCs w:val="20"/>
                <w:lang w:eastAsia="en-IN"/>
              </w:rPr>
            </w:pPr>
          </w:p>
        </w:tc>
        <w:tc>
          <w:tcPr>
            <w:tcW w:w="855" w:type="dxa"/>
            <w:tcBorders>
              <w:top w:val="nil"/>
              <w:left w:val="nil"/>
              <w:bottom w:val="single" w:color="auto" w:sz="4" w:space="0"/>
              <w:right w:val="single" w:color="auto" w:sz="4" w:space="0"/>
            </w:tcBorders>
            <w:noWrap/>
            <w:vAlign w:val="bottom"/>
          </w:tcPr>
          <w:p w14:paraId="62BE63A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1</w:t>
            </w:r>
          </w:p>
        </w:tc>
        <w:tc>
          <w:tcPr>
            <w:tcW w:w="997" w:type="dxa"/>
            <w:tcBorders>
              <w:top w:val="nil"/>
              <w:left w:val="nil"/>
              <w:bottom w:val="single" w:color="auto" w:sz="4" w:space="0"/>
              <w:right w:val="single" w:color="auto" w:sz="4" w:space="0"/>
            </w:tcBorders>
            <w:noWrap/>
            <w:vAlign w:val="bottom"/>
          </w:tcPr>
          <w:p w14:paraId="3D02AEC7">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2</w:t>
            </w:r>
          </w:p>
        </w:tc>
        <w:tc>
          <w:tcPr>
            <w:tcW w:w="997" w:type="dxa"/>
            <w:tcBorders>
              <w:top w:val="nil"/>
              <w:left w:val="nil"/>
              <w:bottom w:val="single" w:color="auto" w:sz="4" w:space="0"/>
              <w:right w:val="single" w:color="auto" w:sz="4" w:space="0"/>
            </w:tcBorders>
            <w:noWrap/>
            <w:vAlign w:val="bottom"/>
          </w:tcPr>
          <w:p w14:paraId="2AF7D45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A</w:t>
            </w:r>
          </w:p>
        </w:tc>
        <w:tc>
          <w:tcPr>
            <w:tcW w:w="997" w:type="dxa"/>
            <w:tcBorders>
              <w:top w:val="nil"/>
              <w:left w:val="nil"/>
              <w:bottom w:val="single" w:color="auto" w:sz="4" w:space="0"/>
              <w:right w:val="single" w:color="auto" w:sz="4" w:space="0"/>
            </w:tcBorders>
            <w:noWrap/>
            <w:vAlign w:val="bottom"/>
          </w:tcPr>
          <w:p w14:paraId="009A1BD3">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B</w:t>
            </w:r>
          </w:p>
        </w:tc>
      </w:tr>
      <w:tr w14:paraId="1232DC33">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70DB90F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size</w:t>
            </w:r>
          </w:p>
        </w:tc>
        <w:tc>
          <w:tcPr>
            <w:tcW w:w="855" w:type="dxa"/>
            <w:tcBorders>
              <w:top w:val="nil"/>
              <w:left w:val="nil"/>
              <w:bottom w:val="single" w:color="auto" w:sz="4" w:space="0"/>
              <w:right w:val="single" w:color="auto" w:sz="4" w:space="0"/>
            </w:tcBorders>
            <w:noWrap/>
            <w:vAlign w:val="bottom"/>
          </w:tcPr>
          <w:p w14:paraId="3254DA1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0.7</w:t>
            </w:r>
          </w:p>
        </w:tc>
        <w:tc>
          <w:tcPr>
            <w:tcW w:w="997" w:type="dxa"/>
            <w:tcBorders>
              <w:top w:val="nil"/>
              <w:left w:val="nil"/>
              <w:bottom w:val="single" w:color="auto" w:sz="4" w:space="0"/>
              <w:right w:val="single" w:color="auto" w:sz="4" w:space="0"/>
            </w:tcBorders>
            <w:noWrap/>
            <w:vAlign w:val="bottom"/>
          </w:tcPr>
          <w:p w14:paraId="7C3E6BF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0.7</w:t>
            </w:r>
          </w:p>
        </w:tc>
        <w:tc>
          <w:tcPr>
            <w:tcW w:w="997" w:type="dxa"/>
            <w:tcBorders>
              <w:top w:val="nil"/>
              <w:left w:val="nil"/>
              <w:bottom w:val="single" w:color="auto" w:sz="4" w:space="0"/>
              <w:right w:val="single" w:color="auto" w:sz="4" w:space="0"/>
            </w:tcBorders>
            <w:noWrap/>
            <w:vAlign w:val="bottom"/>
          </w:tcPr>
          <w:p w14:paraId="01C06F2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0.7</w:t>
            </w:r>
          </w:p>
        </w:tc>
        <w:tc>
          <w:tcPr>
            <w:tcW w:w="997" w:type="dxa"/>
            <w:tcBorders>
              <w:top w:val="nil"/>
              <w:left w:val="nil"/>
              <w:bottom w:val="single" w:color="auto" w:sz="4" w:space="0"/>
              <w:right w:val="single" w:color="auto" w:sz="4" w:space="0"/>
            </w:tcBorders>
            <w:noWrap/>
            <w:vAlign w:val="bottom"/>
          </w:tcPr>
          <w:p w14:paraId="4E75A47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0.7</w:t>
            </w:r>
          </w:p>
        </w:tc>
      </w:tr>
      <w:tr w14:paraId="5A9490DD">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443643C7">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Initial stocking (L)</w:t>
            </w:r>
          </w:p>
        </w:tc>
        <w:tc>
          <w:tcPr>
            <w:tcW w:w="855" w:type="dxa"/>
            <w:tcBorders>
              <w:top w:val="nil"/>
              <w:left w:val="nil"/>
              <w:bottom w:val="single" w:color="auto" w:sz="4" w:space="0"/>
              <w:right w:val="single" w:color="auto" w:sz="4" w:space="0"/>
            </w:tcBorders>
            <w:noWrap/>
            <w:vAlign w:val="bottom"/>
          </w:tcPr>
          <w:p w14:paraId="70D30C6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350000</w:t>
            </w:r>
          </w:p>
        </w:tc>
        <w:tc>
          <w:tcPr>
            <w:tcW w:w="997" w:type="dxa"/>
            <w:tcBorders>
              <w:top w:val="nil"/>
              <w:left w:val="nil"/>
              <w:bottom w:val="single" w:color="auto" w:sz="4" w:space="0"/>
              <w:right w:val="single" w:color="auto" w:sz="4" w:space="0"/>
            </w:tcBorders>
            <w:noWrap/>
            <w:vAlign w:val="bottom"/>
          </w:tcPr>
          <w:p w14:paraId="6B9070F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350000</w:t>
            </w:r>
          </w:p>
        </w:tc>
        <w:tc>
          <w:tcPr>
            <w:tcW w:w="997" w:type="dxa"/>
            <w:tcBorders>
              <w:top w:val="nil"/>
              <w:left w:val="nil"/>
              <w:bottom w:val="single" w:color="auto" w:sz="4" w:space="0"/>
              <w:right w:val="single" w:color="auto" w:sz="4" w:space="0"/>
            </w:tcBorders>
            <w:noWrap/>
            <w:vAlign w:val="bottom"/>
          </w:tcPr>
          <w:p w14:paraId="1F4B672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350000</w:t>
            </w:r>
          </w:p>
        </w:tc>
        <w:tc>
          <w:tcPr>
            <w:tcW w:w="997" w:type="dxa"/>
            <w:tcBorders>
              <w:top w:val="nil"/>
              <w:left w:val="nil"/>
              <w:bottom w:val="single" w:color="auto" w:sz="4" w:space="0"/>
              <w:right w:val="single" w:color="auto" w:sz="4" w:space="0"/>
            </w:tcBorders>
            <w:noWrap/>
            <w:vAlign w:val="bottom"/>
          </w:tcPr>
          <w:p w14:paraId="2AC1743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350000</w:t>
            </w:r>
          </w:p>
        </w:tc>
      </w:tr>
      <w:tr w14:paraId="12016F11">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1086462E">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xml:space="preserve">Density </w:t>
            </w:r>
            <w:r>
              <w:rPr>
                <w:rFonts w:ascii="Times New Roman" w:hAnsi="Times New Roman" w:cs="Times New Roman"/>
                <w:sz w:val="20"/>
                <w:szCs w:val="20"/>
              </w:rPr>
              <w:t>m</w:t>
            </w:r>
            <w:r>
              <w:rPr>
                <w:rFonts w:ascii="Times New Roman" w:hAnsi="Times New Roman" w:cs="Times New Roman"/>
                <w:sz w:val="20"/>
                <w:szCs w:val="20"/>
                <w:vertAlign w:val="superscript"/>
              </w:rPr>
              <w:t>2</w:t>
            </w:r>
          </w:p>
        </w:tc>
        <w:tc>
          <w:tcPr>
            <w:tcW w:w="855" w:type="dxa"/>
            <w:tcBorders>
              <w:top w:val="nil"/>
              <w:left w:val="nil"/>
              <w:bottom w:val="single" w:color="auto" w:sz="4" w:space="0"/>
              <w:right w:val="single" w:color="auto" w:sz="4" w:space="0"/>
            </w:tcBorders>
            <w:noWrap/>
            <w:vAlign w:val="bottom"/>
          </w:tcPr>
          <w:p w14:paraId="0A3F08A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50</w:t>
            </w:r>
          </w:p>
        </w:tc>
        <w:tc>
          <w:tcPr>
            <w:tcW w:w="997" w:type="dxa"/>
            <w:tcBorders>
              <w:top w:val="nil"/>
              <w:left w:val="nil"/>
              <w:bottom w:val="single" w:color="auto" w:sz="4" w:space="0"/>
              <w:right w:val="single" w:color="auto" w:sz="4" w:space="0"/>
            </w:tcBorders>
            <w:noWrap/>
            <w:vAlign w:val="bottom"/>
          </w:tcPr>
          <w:p w14:paraId="2F3C0CD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50</w:t>
            </w:r>
          </w:p>
        </w:tc>
        <w:tc>
          <w:tcPr>
            <w:tcW w:w="997" w:type="dxa"/>
            <w:tcBorders>
              <w:top w:val="nil"/>
              <w:left w:val="nil"/>
              <w:bottom w:val="single" w:color="auto" w:sz="4" w:space="0"/>
              <w:right w:val="single" w:color="auto" w:sz="4" w:space="0"/>
            </w:tcBorders>
            <w:noWrap/>
            <w:vAlign w:val="bottom"/>
          </w:tcPr>
          <w:p w14:paraId="2DC57EF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50</w:t>
            </w:r>
          </w:p>
        </w:tc>
        <w:tc>
          <w:tcPr>
            <w:tcW w:w="997" w:type="dxa"/>
            <w:tcBorders>
              <w:top w:val="nil"/>
              <w:left w:val="nil"/>
              <w:bottom w:val="single" w:color="auto" w:sz="4" w:space="0"/>
              <w:right w:val="single" w:color="auto" w:sz="4" w:space="0"/>
            </w:tcBorders>
            <w:noWrap/>
            <w:vAlign w:val="bottom"/>
          </w:tcPr>
          <w:p w14:paraId="0CA4313B">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50</w:t>
            </w:r>
          </w:p>
        </w:tc>
      </w:tr>
      <w:tr w14:paraId="6D7ADDB9">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5C0E8F5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Stocking date</w:t>
            </w:r>
          </w:p>
        </w:tc>
        <w:tc>
          <w:tcPr>
            <w:tcW w:w="855" w:type="dxa"/>
            <w:tcBorders>
              <w:top w:val="nil"/>
              <w:left w:val="nil"/>
              <w:bottom w:val="single" w:color="auto" w:sz="4" w:space="0"/>
              <w:right w:val="single" w:color="auto" w:sz="4" w:space="0"/>
            </w:tcBorders>
            <w:noWrap/>
            <w:vAlign w:val="bottom"/>
          </w:tcPr>
          <w:p w14:paraId="359E680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2.8.24</w:t>
            </w:r>
          </w:p>
        </w:tc>
        <w:tc>
          <w:tcPr>
            <w:tcW w:w="997" w:type="dxa"/>
            <w:tcBorders>
              <w:top w:val="nil"/>
              <w:left w:val="nil"/>
              <w:bottom w:val="single" w:color="auto" w:sz="4" w:space="0"/>
              <w:right w:val="single" w:color="auto" w:sz="4" w:space="0"/>
            </w:tcBorders>
            <w:noWrap/>
            <w:vAlign w:val="bottom"/>
          </w:tcPr>
          <w:p w14:paraId="1909C9CF">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2.8.24</w:t>
            </w:r>
          </w:p>
        </w:tc>
        <w:tc>
          <w:tcPr>
            <w:tcW w:w="997" w:type="dxa"/>
            <w:tcBorders>
              <w:top w:val="nil"/>
              <w:left w:val="nil"/>
              <w:bottom w:val="single" w:color="auto" w:sz="4" w:space="0"/>
              <w:right w:val="single" w:color="auto" w:sz="4" w:space="0"/>
            </w:tcBorders>
            <w:noWrap/>
            <w:vAlign w:val="bottom"/>
          </w:tcPr>
          <w:p w14:paraId="278FC7F1">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2.8.24</w:t>
            </w:r>
          </w:p>
        </w:tc>
        <w:tc>
          <w:tcPr>
            <w:tcW w:w="997" w:type="dxa"/>
            <w:tcBorders>
              <w:top w:val="nil"/>
              <w:left w:val="nil"/>
              <w:bottom w:val="single" w:color="auto" w:sz="4" w:space="0"/>
              <w:right w:val="single" w:color="auto" w:sz="4" w:space="0"/>
            </w:tcBorders>
            <w:noWrap/>
            <w:vAlign w:val="bottom"/>
          </w:tcPr>
          <w:p w14:paraId="51F635CD">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2.8.24</w:t>
            </w:r>
          </w:p>
        </w:tc>
      </w:tr>
      <w:tr w14:paraId="0BF7D7E6">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1D9903C3">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Harvest date</w:t>
            </w:r>
          </w:p>
        </w:tc>
        <w:tc>
          <w:tcPr>
            <w:tcW w:w="855" w:type="dxa"/>
            <w:tcBorders>
              <w:top w:val="nil"/>
              <w:left w:val="nil"/>
              <w:bottom w:val="single" w:color="auto" w:sz="4" w:space="0"/>
              <w:right w:val="single" w:color="auto" w:sz="4" w:space="0"/>
            </w:tcBorders>
            <w:noWrap/>
            <w:vAlign w:val="bottom"/>
          </w:tcPr>
          <w:p w14:paraId="12320591">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26.11.24</w:t>
            </w:r>
          </w:p>
        </w:tc>
        <w:tc>
          <w:tcPr>
            <w:tcW w:w="997" w:type="dxa"/>
            <w:tcBorders>
              <w:top w:val="nil"/>
              <w:left w:val="nil"/>
              <w:bottom w:val="single" w:color="auto" w:sz="4" w:space="0"/>
              <w:right w:val="single" w:color="auto" w:sz="4" w:space="0"/>
            </w:tcBorders>
            <w:noWrap/>
            <w:vAlign w:val="bottom"/>
          </w:tcPr>
          <w:p w14:paraId="240C483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26.11.24</w:t>
            </w:r>
          </w:p>
        </w:tc>
        <w:tc>
          <w:tcPr>
            <w:tcW w:w="997" w:type="dxa"/>
            <w:tcBorders>
              <w:top w:val="nil"/>
              <w:left w:val="nil"/>
              <w:bottom w:val="single" w:color="auto" w:sz="4" w:space="0"/>
              <w:right w:val="single" w:color="auto" w:sz="4" w:space="0"/>
            </w:tcBorders>
            <w:noWrap/>
            <w:vAlign w:val="bottom"/>
          </w:tcPr>
          <w:p w14:paraId="063B5D32">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26.11.24</w:t>
            </w:r>
          </w:p>
        </w:tc>
        <w:tc>
          <w:tcPr>
            <w:tcW w:w="997" w:type="dxa"/>
            <w:tcBorders>
              <w:top w:val="nil"/>
              <w:left w:val="nil"/>
              <w:bottom w:val="single" w:color="auto" w:sz="4" w:space="0"/>
              <w:right w:val="single" w:color="auto" w:sz="4" w:space="0"/>
            </w:tcBorders>
            <w:noWrap/>
            <w:vAlign w:val="bottom"/>
          </w:tcPr>
          <w:p w14:paraId="2E72FA4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26.11.24</w:t>
            </w:r>
          </w:p>
        </w:tc>
      </w:tr>
      <w:tr w14:paraId="4368F83E">
        <w:tblPrEx>
          <w:tblCellMar>
            <w:top w:w="0" w:type="dxa"/>
            <w:left w:w="108" w:type="dxa"/>
            <w:bottom w:w="0" w:type="dxa"/>
            <w:right w:w="108" w:type="dxa"/>
          </w:tblCellMar>
        </w:tblPrEx>
        <w:trPr>
          <w:trHeight w:val="300" w:hRule="atLeast"/>
          <w:jc w:val="center"/>
        </w:trPr>
        <w:tc>
          <w:tcPr>
            <w:tcW w:w="1838" w:type="dxa"/>
            <w:tcBorders>
              <w:top w:val="nil"/>
              <w:left w:val="single" w:color="auto" w:sz="4" w:space="0"/>
              <w:bottom w:val="single" w:color="auto" w:sz="4" w:space="0"/>
              <w:right w:val="single" w:color="auto" w:sz="4" w:space="0"/>
            </w:tcBorders>
            <w:noWrap/>
            <w:vAlign w:val="bottom"/>
          </w:tcPr>
          <w:p w14:paraId="3E225A3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DOC</w:t>
            </w:r>
          </w:p>
        </w:tc>
        <w:tc>
          <w:tcPr>
            <w:tcW w:w="855" w:type="dxa"/>
            <w:tcBorders>
              <w:top w:val="nil"/>
              <w:left w:val="nil"/>
              <w:bottom w:val="single" w:color="auto" w:sz="4" w:space="0"/>
              <w:right w:val="single" w:color="auto" w:sz="4" w:space="0"/>
            </w:tcBorders>
            <w:noWrap/>
            <w:vAlign w:val="bottom"/>
          </w:tcPr>
          <w:p w14:paraId="46EAAFC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116</w:t>
            </w:r>
          </w:p>
        </w:tc>
        <w:tc>
          <w:tcPr>
            <w:tcW w:w="997" w:type="dxa"/>
            <w:tcBorders>
              <w:top w:val="nil"/>
              <w:left w:val="nil"/>
              <w:bottom w:val="single" w:color="auto" w:sz="4" w:space="0"/>
              <w:right w:val="single" w:color="auto" w:sz="4" w:space="0"/>
            </w:tcBorders>
            <w:noWrap/>
            <w:vAlign w:val="bottom"/>
          </w:tcPr>
          <w:p w14:paraId="3466B5BF">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116</w:t>
            </w:r>
          </w:p>
        </w:tc>
        <w:tc>
          <w:tcPr>
            <w:tcW w:w="997" w:type="dxa"/>
            <w:tcBorders>
              <w:top w:val="nil"/>
              <w:left w:val="nil"/>
              <w:bottom w:val="single" w:color="auto" w:sz="4" w:space="0"/>
              <w:right w:val="single" w:color="auto" w:sz="4" w:space="0"/>
            </w:tcBorders>
            <w:noWrap/>
            <w:vAlign w:val="bottom"/>
          </w:tcPr>
          <w:p w14:paraId="6357204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116</w:t>
            </w:r>
          </w:p>
        </w:tc>
        <w:tc>
          <w:tcPr>
            <w:tcW w:w="997" w:type="dxa"/>
            <w:tcBorders>
              <w:top w:val="nil"/>
              <w:left w:val="nil"/>
              <w:bottom w:val="single" w:color="auto" w:sz="4" w:space="0"/>
              <w:right w:val="single" w:color="auto" w:sz="4" w:space="0"/>
            </w:tcBorders>
            <w:noWrap/>
            <w:vAlign w:val="bottom"/>
          </w:tcPr>
          <w:p w14:paraId="207F017E">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116</w:t>
            </w:r>
          </w:p>
        </w:tc>
      </w:tr>
    </w:tbl>
    <w:p w14:paraId="319DBEA4">
      <w:pPr>
        <w:spacing w:after="0" w:line="240" w:lineRule="auto"/>
        <w:rPr>
          <w:rFonts w:ascii="Times New Roman" w:hAnsi="Times New Roman" w:cs="Times New Roman"/>
          <w:sz w:val="20"/>
          <w:szCs w:val="20"/>
        </w:rPr>
      </w:pPr>
    </w:p>
    <w:p w14:paraId="748E7E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2 shows average water quality parameter in all the ponds</w:t>
      </w:r>
    </w:p>
    <w:tbl>
      <w:tblPr>
        <w:tblStyle w:val="3"/>
        <w:tblW w:w="5704" w:type="dxa"/>
        <w:jc w:val="center"/>
        <w:tblLayout w:type="autofit"/>
        <w:tblCellMar>
          <w:top w:w="0" w:type="dxa"/>
          <w:left w:w="108" w:type="dxa"/>
          <w:bottom w:w="0" w:type="dxa"/>
          <w:right w:w="108" w:type="dxa"/>
        </w:tblCellMar>
      </w:tblPr>
      <w:tblGrid>
        <w:gridCol w:w="1864"/>
        <w:gridCol w:w="960"/>
        <w:gridCol w:w="960"/>
        <w:gridCol w:w="960"/>
        <w:gridCol w:w="960"/>
      </w:tblGrid>
      <w:tr w14:paraId="2345E05E">
        <w:tblPrEx>
          <w:tblCellMar>
            <w:top w:w="0" w:type="dxa"/>
            <w:left w:w="108" w:type="dxa"/>
            <w:bottom w:w="0" w:type="dxa"/>
            <w:right w:w="108" w:type="dxa"/>
          </w:tblCellMar>
        </w:tblPrEx>
        <w:trPr>
          <w:trHeight w:val="300" w:hRule="atLeast"/>
          <w:jc w:val="center"/>
        </w:trPr>
        <w:tc>
          <w:tcPr>
            <w:tcW w:w="1864" w:type="dxa"/>
            <w:tcBorders>
              <w:top w:val="single" w:color="auto" w:sz="4" w:space="0"/>
              <w:left w:val="single" w:color="auto" w:sz="4" w:space="0"/>
              <w:bottom w:val="single" w:color="auto" w:sz="4" w:space="0"/>
              <w:right w:val="single" w:color="auto" w:sz="4" w:space="0"/>
            </w:tcBorders>
            <w:noWrap/>
            <w:vAlign w:val="bottom"/>
          </w:tcPr>
          <w:p w14:paraId="200E4B1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w:t>
            </w:r>
          </w:p>
        </w:tc>
        <w:tc>
          <w:tcPr>
            <w:tcW w:w="1920" w:type="dxa"/>
            <w:gridSpan w:val="2"/>
            <w:tcBorders>
              <w:top w:val="single" w:color="auto" w:sz="4" w:space="0"/>
              <w:left w:val="nil"/>
              <w:bottom w:val="single" w:color="auto" w:sz="4" w:space="0"/>
              <w:right w:val="single" w:color="auto" w:sz="4" w:space="0"/>
            </w:tcBorders>
            <w:noWrap/>
            <w:vAlign w:val="bottom"/>
          </w:tcPr>
          <w:p w14:paraId="5F63C3E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Site 1</w:t>
            </w:r>
          </w:p>
        </w:tc>
        <w:tc>
          <w:tcPr>
            <w:tcW w:w="1920" w:type="dxa"/>
            <w:gridSpan w:val="2"/>
            <w:tcBorders>
              <w:top w:val="single" w:color="auto" w:sz="4" w:space="0"/>
              <w:left w:val="nil"/>
              <w:bottom w:val="single" w:color="auto" w:sz="4" w:space="0"/>
              <w:right w:val="single" w:color="auto" w:sz="4" w:space="0"/>
            </w:tcBorders>
            <w:noWrap/>
            <w:vAlign w:val="bottom"/>
          </w:tcPr>
          <w:p w14:paraId="115FCCF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Site 2</w:t>
            </w:r>
          </w:p>
        </w:tc>
      </w:tr>
      <w:tr w14:paraId="662D03E6">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4ABD2D12">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w:t>
            </w:r>
          </w:p>
        </w:tc>
        <w:tc>
          <w:tcPr>
            <w:tcW w:w="960" w:type="dxa"/>
            <w:tcBorders>
              <w:top w:val="nil"/>
              <w:left w:val="nil"/>
              <w:bottom w:val="single" w:color="auto" w:sz="4" w:space="0"/>
              <w:right w:val="single" w:color="auto" w:sz="4" w:space="0"/>
            </w:tcBorders>
            <w:noWrap/>
            <w:vAlign w:val="bottom"/>
          </w:tcPr>
          <w:p w14:paraId="5676EAD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1</w:t>
            </w:r>
          </w:p>
        </w:tc>
        <w:tc>
          <w:tcPr>
            <w:tcW w:w="960" w:type="dxa"/>
            <w:tcBorders>
              <w:top w:val="nil"/>
              <w:left w:val="nil"/>
              <w:bottom w:val="single" w:color="auto" w:sz="4" w:space="0"/>
              <w:right w:val="single" w:color="auto" w:sz="4" w:space="0"/>
            </w:tcBorders>
            <w:noWrap/>
            <w:vAlign w:val="bottom"/>
          </w:tcPr>
          <w:p w14:paraId="2B1C627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2</w:t>
            </w:r>
          </w:p>
        </w:tc>
        <w:tc>
          <w:tcPr>
            <w:tcW w:w="960" w:type="dxa"/>
            <w:tcBorders>
              <w:top w:val="nil"/>
              <w:left w:val="nil"/>
              <w:bottom w:val="single" w:color="auto" w:sz="4" w:space="0"/>
              <w:right w:val="single" w:color="auto" w:sz="4" w:space="0"/>
            </w:tcBorders>
            <w:noWrap/>
            <w:vAlign w:val="bottom"/>
          </w:tcPr>
          <w:p w14:paraId="7AFA750D">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A</w:t>
            </w:r>
          </w:p>
        </w:tc>
        <w:tc>
          <w:tcPr>
            <w:tcW w:w="960" w:type="dxa"/>
            <w:tcBorders>
              <w:top w:val="nil"/>
              <w:left w:val="nil"/>
              <w:bottom w:val="single" w:color="auto" w:sz="4" w:space="0"/>
              <w:right w:val="single" w:color="auto" w:sz="4" w:space="0"/>
            </w:tcBorders>
            <w:noWrap/>
            <w:vAlign w:val="bottom"/>
          </w:tcPr>
          <w:p w14:paraId="75695D4B">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Pond B</w:t>
            </w:r>
          </w:p>
        </w:tc>
      </w:tr>
      <w:tr w14:paraId="28D9D722">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67FB7FEB">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Salinity (ppt)</w:t>
            </w:r>
          </w:p>
        </w:tc>
        <w:tc>
          <w:tcPr>
            <w:tcW w:w="960" w:type="dxa"/>
            <w:tcBorders>
              <w:top w:val="nil"/>
              <w:left w:val="nil"/>
              <w:bottom w:val="single" w:color="auto" w:sz="4" w:space="0"/>
              <w:right w:val="single" w:color="auto" w:sz="4" w:space="0"/>
            </w:tcBorders>
            <w:noWrap/>
            <w:vAlign w:val="bottom"/>
          </w:tcPr>
          <w:p w14:paraId="366753C1">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20 - 22</w:t>
            </w:r>
          </w:p>
        </w:tc>
        <w:tc>
          <w:tcPr>
            <w:tcW w:w="960" w:type="dxa"/>
            <w:tcBorders>
              <w:top w:val="nil"/>
              <w:left w:val="nil"/>
              <w:bottom w:val="single" w:color="auto" w:sz="4" w:space="0"/>
              <w:right w:val="single" w:color="auto" w:sz="4" w:space="0"/>
            </w:tcBorders>
            <w:noWrap/>
            <w:vAlign w:val="bottom"/>
          </w:tcPr>
          <w:p w14:paraId="3504F6D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20 - 22</w:t>
            </w:r>
          </w:p>
        </w:tc>
        <w:tc>
          <w:tcPr>
            <w:tcW w:w="960" w:type="dxa"/>
            <w:tcBorders>
              <w:top w:val="nil"/>
              <w:left w:val="nil"/>
              <w:bottom w:val="single" w:color="auto" w:sz="4" w:space="0"/>
              <w:right w:val="single" w:color="auto" w:sz="4" w:space="0"/>
            </w:tcBorders>
            <w:noWrap/>
            <w:vAlign w:val="bottom"/>
          </w:tcPr>
          <w:p w14:paraId="1A7E8D3E">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20 - 22</w:t>
            </w:r>
          </w:p>
        </w:tc>
        <w:tc>
          <w:tcPr>
            <w:tcW w:w="960" w:type="dxa"/>
            <w:tcBorders>
              <w:top w:val="nil"/>
              <w:left w:val="nil"/>
              <w:bottom w:val="single" w:color="auto" w:sz="4" w:space="0"/>
              <w:right w:val="single" w:color="auto" w:sz="4" w:space="0"/>
            </w:tcBorders>
            <w:noWrap/>
            <w:vAlign w:val="bottom"/>
          </w:tcPr>
          <w:p w14:paraId="03FD5606">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20 - 22</w:t>
            </w:r>
          </w:p>
        </w:tc>
      </w:tr>
      <w:tr w14:paraId="350856A6">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481EFA9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pH</w:t>
            </w:r>
          </w:p>
        </w:tc>
        <w:tc>
          <w:tcPr>
            <w:tcW w:w="960" w:type="dxa"/>
            <w:tcBorders>
              <w:top w:val="nil"/>
              <w:left w:val="nil"/>
              <w:bottom w:val="single" w:color="auto" w:sz="4" w:space="0"/>
              <w:right w:val="single" w:color="auto" w:sz="4" w:space="0"/>
            </w:tcBorders>
            <w:noWrap/>
            <w:vAlign w:val="bottom"/>
          </w:tcPr>
          <w:p w14:paraId="6781028B">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7.9 - 8.2</w:t>
            </w:r>
          </w:p>
        </w:tc>
        <w:tc>
          <w:tcPr>
            <w:tcW w:w="960" w:type="dxa"/>
            <w:tcBorders>
              <w:top w:val="nil"/>
              <w:left w:val="nil"/>
              <w:bottom w:val="single" w:color="auto" w:sz="4" w:space="0"/>
              <w:right w:val="single" w:color="auto" w:sz="4" w:space="0"/>
            </w:tcBorders>
            <w:noWrap/>
            <w:vAlign w:val="bottom"/>
          </w:tcPr>
          <w:p w14:paraId="5B4B8076">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8.0 - 8.4</w:t>
            </w:r>
          </w:p>
        </w:tc>
        <w:tc>
          <w:tcPr>
            <w:tcW w:w="960" w:type="dxa"/>
            <w:tcBorders>
              <w:top w:val="nil"/>
              <w:left w:val="nil"/>
              <w:bottom w:val="single" w:color="auto" w:sz="4" w:space="0"/>
              <w:right w:val="single" w:color="auto" w:sz="4" w:space="0"/>
            </w:tcBorders>
            <w:noWrap/>
            <w:vAlign w:val="bottom"/>
          </w:tcPr>
          <w:p w14:paraId="7A8C1345">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8.0 - 8.5</w:t>
            </w:r>
          </w:p>
        </w:tc>
        <w:tc>
          <w:tcPr>
            <w:tcW w:w="960" w:type="dxa"/>
            <w:tcBorders>
              <w:top w:val="nil"/>
              <w:left w:val="nil"/>
              <w:bottom w:val="single" w:color="auto" w:sz="4" w:space="0"/>
              <w:right w:val="single" w:color="auto" w:sz="4" w:space="0"/>
            </w:tcBorders>
            <w:noWrap/>
            <w:vAlign w:val="bottom"/>
          </w:tcPr>
          <w:p w14:paraId="6ACC273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7.9 - 8.3</w:t>
            </w:r>
          </w:p>
        </w:tc>
      </w:tr>
      <w:tr w14:paraId="4B7A031C">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1BF0DBA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Alkalinity</w:t>
            </w:r>
          </w:p>
        </w:tc>
        <w:tc>
          <w:tcPr>
            <w:tcW w:w="960" w:type="dxa"/>
            <w:tcBorders>
              <w:top w:val="nil"/>
              <w:left w:val="nil"/>
              <w:bottom w:val="single" w:color="auto" w:sz="4" w:space="0"/>
              <w:right w:val="single" w:color="auto" w:sz="4" w:space="0"/>
            </w:tcBorders>
            <w:noWrap/>
            <w:vAlign w:val="bottom"/>
          </w:tcPr>
          <w:p w14:paraId="02282643">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220</w:t>
            </w:r>
          </w:p>
        </w:tc>
        <w:tc>
          <w:tcPr>
            <w:tcW w:w="960" w:type="dxa"/>
            <w:tcBorders>
              <w:top w:val="nil"/>
              <w:left w:val="nil"/>
              <w:bottom w:val="single" w:color="auto" w:sz="4" w:space="0"/>
              <w:right w:val="single" w:color="auto" w:sz="4" w:space="0"/>
            </w:tcBorders>
            <w:noWrap/>
            <w:vAlign w:val="bottom"/>
          </w:tcPr>
          <w:p w14:paraId="5950847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250</w:t>
            </w:r>
          </w:p>
        </w:tc>
        <w:tc>
          <w:tcPr>
            <w:tcW w:w="960" w:type="dxa"/>
            <w:tcBorders>
              <w:top w:val="nil"/>
              <w:left w:val="nil"/>
              <w:bottom w:val="single" w:color="auto" w:sz="4" w:space="0"/>
              <w:right w:val="single" w:color="auto" w:sz="4" w:space="0"/>
            </w:tcBorders>
            <w:noWrap/>
            <w:vAlign w:val="bottom"/>
          </w:tcPr>
          <w:p w14:paraId="00F6EF47">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260</w:t>
            </w:r>
          </w:p>
        </w:tc>
        <w:tc>
          <w:tcPr>
            <w:tcW w:w="960" w:type="dxa"/>
            <w:tcBorders>
              <w:top w:val="nil"/>
              <w:left w:val="nil"/>
              <w:bottom w:val="single" w:color="auto" w:sz="4" w:space="0"/>
              <w:right w:val="single" w:color="auto" w:sz="4" w:space="0"/>
            </w:tcBorders>
            <w:noWrap/>
            <w:vAlign w:val="bottom"/>
          </w:tcPr>
          <w:p w14:paraId="1C462EB1">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240</w:t>
            </w:r>
          </w:p>
        </w:tc>
      </w:tr>
      <w:tr w14:paraId="34DA7CFC">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22D6211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Ammonia</w:t>
            </w:r>
          </w:p>
        </w:tc>
        <w:tc>
          <w:tcPr>
            <w:tcW w:w="960" w:type="dxa"/>
            <w:tcBorders>
              <w:top w:val="nil"/>
              <w:left w:val="nil"/>
              <w:bottom w:val="single" w:color="auto" w:sz="4" w:space="0"/>
              <w:right w:val="single" w:color="auto" w:sz="4" w:space="0"/>
            </w:tcBorders>
            <w:noWrap/>
            <w:vAlign w:val="bottom"/>
          </w:tcPr>
          <w:p w14:paraId="0BC0AF07">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0.1</w:t>
            </w:r>
          </w:p>
        </w:tc>
        <w:tc>
          <w:tcPr>
            <w:tcW w:w="960" w:type="dxa"/>
            <w:tcBorders>
              <w:top w:val="nil"/>
              <w:left w:val="nil"/>
              <w:bottom w:val="single" w:color="auto" w:sz="4" w:space="0"/>
              <w:right w:val="single" w:color="auto" w:sz="4" w:space="0"/>
            </w:tcBorders>
            <w:noWrap/>
            <w:vAlign w:val="bottom"/>
          </w:tcPr>
          <w:p w14:paraId="7A074514">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0.2</w:t>
            </w:r>
          </w:p>
        </w:tc>
        <w:tc>
          <w:tcPr>
            <w:tcW w:w="960" w:type="dxa"/>
            <w:tcBorders>
              <w:top w:val="nil"/>
              <w:left w:val="nil"/>
              <w:bottom w:val="single" w:color="auto" w:sz="4" w:space="0"/>
              <w:right w:val="single" w:color="auto" w:sz="4" w:space="0"/>
            </w:tcBorders>
            <w:noWrap/>
            <w:vAlign w:val="bottom"/>
          </w:tcPr>
          <w:p w14:paraId="03F2108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0.2</w:t>
            </w:r>
          </w:p>
        </w:tc>
        <w:tc>
          <w:tcPr>
            <w:tcW w:w="960" w:type="dxa"/>
            <w:tcBorders>
              <w:top w:val="nil"/>
              <w:left w:val="nil"/>
              <w:bottom w:val="single" w:color="auto" w:sz="4" w:space="0"/>
              <w:right w:val="single" w:color="auto" w:sz="4" w:space="0"/>
            </w:tcBorders>
            <w:noWrap/>
            <w:vAlign w:val="bottom"/>
          </w:tcPr>
          <w:p w14:paraId="78717D22">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0.2</w:t>
            </w:r>
          </w:p>
        </w:tc>
      </w:tr>
      <w:tr w14:paraId="120DCB95">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3CF99E4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Nitrite</w:t>
            </w:r>
          </w:p>
        </w:tc>
        <w:tc>
          <w:tcPr>
            <w:tcW w:w="960" w:type="dxa"/>
            <w:tcBorders>
              <w:top w:val="nil"/>
              <w:left w:val="nil"/>
              <w:bottom w:val="single" w:color="auto" w:sz="4" w:space="0"/>
              <w:right w:val="single" w:color="auto" w:sz="4" w:space="0"/>
            </w:tcBorders>
            <w:noWrap/>
            <w:vAlign w:val="bottom"/>
          </w:tcPr>
          <w:p w14:paraId="4F3A9FC7">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0.1</w:t>
            </w:r>
          </w:p>
        </w:tc>
        <w:tc>
          <w:tcPr>
            <w:tcW w:w="960" w:type="dxa"/>
            <w:tcBorders>
              <w:top w:val="nil"/>
              <w:left w:val="nil"/>
              <w:bottom w:val="single" w:color="auto" w:sz="4" w:space="0"/>
              <w:right w:val="single" w:color="auto" w:sz="4" w:space="0"/>
            </w:tcBorders>
            <w:noWrap/>
            <w:vAlign w:val="bottom"/>
          </w:tcPr>
          <w:p w14:paraId="17106AC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0.1</w:t>
            </w:r>
          </w:p>
        </w:tc>
        <w:tc>
          <w:tcPr>
            <w:tcW w:w="960" w:type="dxa"/>
            <w:tcBorders>
              <w:top w:val="nil"/>
              <w:left w:val="nil"/>
              <w:bottom w:val="single" w:color="auto" w:sz="4" w:space="0"/>
              <w:right w:val="single" w:color="auto" w:sz="4" w:space="0"/>
            </w:tcBorders>
            <w:noWrap/>
            <w:vAlign w:val="bottom"/>
          </w:tcPr>
          <w:p w14:paraId="6BDD8486">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0.1</w:t>
            </w:r>
          </w:p>
        </w:tc>
        <w:tc>
          <w:tcPr>
            <w:tcW w:w="960" w:type="dxa"/>
            <w:tcBorders>
              <w:top w:val="nil"/>
              <w:left w:val="nil"/>
              <w:bottom w:val="single" w:color="auto" w:sz="4" w:space="0"/>
              <w:right w:val="single" w:color="auto" w:sz="4" w:space="0"/>
            </w:tcBorders>
            <w:noWrap/>
            <w:vAlign w:val="bottom"/>
          </w:tcPr>
          <w:p w14:paraId="2C31EAE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0.1</w:t>
            </w:r>
          </w:p>
        </w:tc>
      </w:tr>
      <w:tr w14:paraId="405F34DC">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3647CBED">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Dissolved oxygen</w:t>
            </w:r>
          </w:p>
        </w:tc>
        <w:tc>
          <w:tcPr>
            <w:tcW w:w="960" w:type="dxa"/>
            <w:tcBorders>
              <w:top w:val="nil"/>
              <w:left w:val="nil"/>
              <w:bottom w:val="single" w:color="auto" w:sz="4" w:space="0"/>
              <w:right w:val="single" w:color="auto" w:sz="4" w:space="0"/>
            </w:tcBorders>
            <w:noWrap/>
            <w:vAlign w:val="bottom"/>
          </w:tcPr>
          <w:p w14:paraId="7B6710CC">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5.6</w:t>
            </w:r>
          </w:p>
        </w:tc>
        <w:tc>
          <w:tcPr>
            <w:tcW w:w="960" w:type="dxa"/>
            <w:tcBorders>
              <w:top w:val="nil"/>
              <w:left w:val="nil"/>
              <w:bottom w:val="single" w:color="auto" w:sz="4" w:space="0"/>
              <w:right w:val="single" w:color="auto" w:sz="4" w:space="0"/>
            </w:tcBorders>
            <w:noWrap/>
            <w:vAlign w:val="bottom"/>
          </w:tcPr>
          <w:p w14:paraId="3BFC49D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5.8</w:t>
            </w:r>
          </w:p>
        </w:tc>
        <w:tc>
          <w:tcPr>
            <w:tcW w:w="960" w:type="dxa"/>
            <w:tcBorders>
              <w:top w:val="nil"/>
              <w:left w:val="nil"/>
              <w:bottom w:val="single" w:color="auto" w:sz="4" w:space="0"/>
              <w:right w:val="single" w:color="auto" w:sz="4" w:space="0"/>
            </w:tcBorders>
            <w:noWrap/>
            <w:vAlign w:val="bottom"/>
          </w:tcPr>
          <w:p w14:paraId="58A87306">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6</w:t>
            </w:r>
          </w:p>
        </w:tc>
        <w:tc>
          <w:tcPr>
            <w:tcW w:w="960" w:type="dxa"/>
            <w:tcBorders>
              <w:top w:val="nil"/>
              <w:left w:val="nil"/>
              <w:bottom w:val="single" w:color="auto" w:sz="4" w:space="0"/>
              <w:right w:val="single" w:color="auto" w:sz="4" w:space="0"/>
            </w:tcBorders>
            <w:noWrap/>
            <w:vAlign w:val="bottom"/>
          </w:tcPr>
          <w:p w14:paraId="51518B70">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5.4</w:t>
            </w:r>
          </w:p>
        </w:tc>
      </w:tr>
      <w:tr w14:paraId="4A67A647">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1F7BA85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xml:space="preserve">Yellow colony </w:t>
            </w:r>
          </w:p>
        </w:tc>
        <w:tc>
          <w:tcPr>
            <w:tcW w:w="960" w:type="dxa"/>
            <w:tcBorders>
              <w:top w:val="nil"/>
              <w:left w:val="nil"/>
              <w:bottom w:val="single" w:color="auto" w:sz="4" w:space="0"/>
              <w:right w:val="single" w:color="auto" w:sz="4" w:space="0"/>
            </w:tcBorders>
            <w:noWrap/>
            <w:vAlign w:val="bottom"/>
          </w:tcPr>
          <w:p w14:paraId="65F642A9">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600</w:t>
            </w:r>
          </w:p>
        </w:tc>
        <w:tc>
          <w:tcPr>
            <w:tcW w:w="960" w:type="dxa"/>
            <w:tcBorders>
              <w:top w:val="nil"/>
              <w:left w:val="nil"/>
              <w:bottom w:val="single" w:color="auto" w:sz="4" w:space="0"/>
              <w:right w:val="single" w:color="auto" w:sz="4" w:space="0"/>
            </w:tcBorders>
            <w:noWrap/>
            <w:vAlign w:val="bottom"/>
          </w:tcPr>
          <w:p w14:paraId="33682F8D">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650</w:t>
            </w:r>
          </w:p>
        </w:tc>
        <w:tc>
          <w:tcPr>
            <w:tcW w:w="960" w:type="dxa"/>
            <w:tcBorders>
              <w:top w:val="nil"/>
              <w:left w:val="nil"/>
              <w:bottom w:val="single" w:color="auto" w:sz="4" w:space="0"/>
              <w:right w:val="single" w:color="auto" w:sz="4" w:space="0"/>
            </w:tcBorders>
            <w:noWrap/>
            <w:vAlign w:val="bottom"/>
          </w:tcPr>
          <w:p w14:paraId="3EF50C1D">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630</w:t>
            </w:r>
          </w:p>
        </w:tc>
        <w:tc>
          <w:tcPr>
            <w:tcW w:w="960" w:type="dxa"/>
            <w:tcBorders>
              <w:top w:val="nil"/>
              <w:left w:val="nil"/>
              <w:bottom w:val="single" w:color="auto" w:sz="4" w:space="0"/>
              <w:right w:val="single" w:color="auto" w:sz="4" w:space="0"/>
            </w:tcBorders>
            <w:noWrap/>
            <w:vAlign w:val="bottom"/>
          </w:tcPr>
          <w:p w14:paraId="59DE90D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660</w:t>
            </w:r>
          </w:p>
        </w:tc>
      </w:tr>
      <w:tr w14:paraId="2426C5E5">
        <w:tblPrEx>
          <w:tblCellMar>
            <w:top w:w="0" w:type="dxa"/>
            <w:left w:w="108" w:type="dxa"/>
            <w:bottom w:w="0" w:type="dxa"/>
            <w:right w:w="108" w:type="dxa"/>
          </w:tblCellMar>
        </w:tblPrEx>
        <w:trPr>
          <w:trHeight w:val="300" w:hRule="atLeast"/>
          <w:jc w:val="center"/>
        </w:trPr>
        <w:tc>
          <w:tcPr>
            <w:tcW w:w="1864" w:type="dxa"/>
            <w:tcBorders>
              <w:top w:val="nil"/>
              <w:left w:val="single" w:color="auto" w:sz="4" w:space="0"/>
              <w:bottom w:val="single" w:color="auto" w:sz="4" w:space="0"/>
              <w:right w:val="single" w:color="auto" w:sz="4" w:space="0"/>
            </w:tcBorders>
            <w:noWrap/>
            <w:vAlign w:val="bottom"/>
          </w:tcPr>
          <w:p w14:paraId="0562DCA5">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Green colony</w:t>
            </w:r>
          </w:p>
        </w:tc>
        <w:tc>
          <w:tcPr>
            <w:tcW w:w="960" w:type="dxa"/>
            <w:tcBorders>
              <w:top w:val="nil"/>
              <w:left w:val="nil"/>
              <w:bottom w:val="single" w:color="auto" w:sz="4" w:space="0"/>
              <w:right w:val="single" w:color="auto" w:sz="4" w:space="0"/>
            </w:tcBorders>
            <w:noWrap/>
            <w:vAlign w:val="bottom"/>
          </w:tcPr>
          <w:p w14:paraId="3CB75A2B">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70</w:t>
            </w:r>
          </w:p>
        </w:tc>
        <w:tc>
          <w:tcPr>
            <w:tcW w:w="960" w:type="dxa"/>
            <w:tcBorders>
              <w:top w:val="nil"/>
              <w:left w:val="nil"/>
              <w:bottom w:val="single" w:color="auto" w:sz="4" w:space="0"/>
              <w:right w:val="single" w:color="auto" w:sz="4" w:space="0"/>
            </w:tcBorders>
            <w:noWrap/>
            <w:vAlign w:val="bottom"/>
          </w:tcPr>
          <w:p w14:paraId="610AEE3F">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180</w:t>
            </w:r>
          </w:p>
        </w:tc>
        <w:tc>
          <w:tcPr>
            <w:tcW w:w="960" w:type="dxa"/>
            <w:tcBorders>
              <w:top w:val="nil"/>
              <w:left w:val="nil"/>
              <w:bottom w:val="single" w:color="auto" w:sz="4" w:space="0"/>
              <w:right w:val="single" w:color="auto" w:sz="4" w:space="0"/>
            </w:tcBorders>
            <w:noWrap/>
            <w:vAlign w:val="bottom"/>
          </w:tcPr>
          <w:p w14:paraId="7B62E3CA">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90</w:t>
            </w:r>
          </w:p>
        </w:tc>
        <w:tc>
          <w:tcPr>
            <w:tcW w:w="960" w:type="dxa"/>
            <w:tcBorders>
              <w:top w:val="nil"/>
              <w:left w:val="nil"/>
              <w:bottom w:val="single" w:color="auto" w:sz="4" w:space="0"/>
              <w:right w:val="single" w:color="auto" w:sz="4" w:space="0"/>
            </w:tcBorders>
            <w:noWrap/>
            <w:vAlign w:val="bottom"/>
          </w:tcPr>
          <w:p w14:paraId="1BC9B4B8">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160</w:t>
            </w:r>
          </w:p>
        </w:tc>
      </w:tr>
    </w:tbl>
    <w:p w14:paraId="6A052FB6">
      <w:pPr>
        <w:spacing w:after="0" w:line="240" w:lineRule="auto"/>
        <w:jc w:val="both"/>
        <w:rPr>
          <w:rFonts w:ascii="Times New Roman" w:hAnsi="Times New Roman" w:cs="Times New Roman"/>
          <w:sz w:val="20"/>
          <w:szCs w:val="20"/>
        </w:rPr>
      </w:pPr>
    </w:p>
    <w:p w14:paraId="7BEC30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present study, the highest survival rate was recorded in Pond 1 at 97%, followed by Pond A at 95%. In contrast, Pond 2 and Pond B showed lower survival rates of 73% and 70%, respectively (Graph:1). The maximum growth, recorded at 33.5 g, was observed in Pond 1, while the minimum growth of 21.8 g was noted in Pond B (Graph:2). The highest feed conversion ratio (FCR) of 1.5 was recorded in Pond B, followed by 1.48 in Pond 2 (Graph :3). The best yield and production were achieved in Pond 1 (11,373 kg), with Pond A following closely at 10,374 kg. The lowest production was recorded in Pond B at 5,341 kg (Graph:4).</w:t>
      </w:r>
    </w:p>
    <w:p w14:paraId="31BBC4C7">
      <w:pPr>
        <w:spacing w:after="0" w:line="240" w:lineRule="auto"/>
        <w:jc w:val="both"/>
        <w:rPr>
          <w:rFonts w:ascii="Times New Roman" w:hAnsi="Times New Roman" w:cs="Times New Roman"/>
          <w:sz w:val="20"/>
          <w:szCs w:val="20"/>
        </w:rPr>
      </w:pPr>
    </w:p>
    <w:p w14:paraId="2406C4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Graph:1 shows the shrimp survival in all the ponds</w:t>
      </w:r>
    </w:p>
    <w:p w14:paraId="1D0C7FF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en-IN"/>
        </w:rPr>
        <w:drawing>
          <wp:inline distT="0" distB="0" distL="0" distR="0">
            <wp:extent cx="5010150" cy="20859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2BFF1">
      <w:pPr>
        <w:spacing w:after="0" w:line="240" w:lineRule="auto"/>
        <w:rPr>
          <w:rFonts w:ascii="Times New Roman" w:hAnsi="Times New Roman" w:cs="Times New Roman"/>
          <w:sz w:val="20"/>
          <w:szCs w:val="20"/>
        </w:rPr>
      </w:pPr>
    </w:p>
    <w:p w14:paraId="7F65D70D">
      <w:pPr>
        <w:spacing w:after="0" w:line="240" w:lineRule="auto"/>
        <w:jc w:val="center"/>
        <w:rPr>
          <w:rFonts w:ascii="Times New Roman" w:hAnsi="Times New Roman" w:cs="Times New Roman"/>
          <w:sz w:val="20"/>
          <w:szCs w:val="20"/>
        </w:rPr>
      </w:pPr>
    </w:p>
    <w:p w14:paraId="4491CD92">
      <w:pPr>
        <w:spacing w:after="0" w:line="240" w:lineRule="auto"/>
        <w:jc w:val="center"/>
        <w:rPr>
          <w:rFonts w:ascii="Times New Roman" w:hAnsi="Times New Roman" w:cs="Times New Roman"/>
          <w:sz w:val="20"/>
          <w:szCs w:val="20"/>
        </w:rPr>
      </w:pPr>
    </w:p>
    <w:p w14:paraId="0B24486C">
      <w:pPr>
        <w:spacing w:after="0" w:line="240" w:lineRule="auto"/>
        <w:jc w:val="center"/>
        <w:rPr>
          <w:rFonts w:ascii="Times New Roman" w:hAnsi="Times New Roman" w:cs="Times New Roman"/>
          <w:sz w:val="20"/>
          <w:szCs w:val="20"/>
        </w:rPr>
      </w:pPr>
    </w:p>
    <w:p w14:paraId="7FFBEC98">
      <w:pPr>
        <w:spacing w:after="0" w:line="240" w:lineRule="auto"/>
        <w:jc w:val="center"/>
        <w:rPr>
          <w:rFonts w:ascii="Times New Roman" w:hAnsi="Times New Roman" w:cs="Times New Roman"/>
          <w:sz w:val="20"/>
          <w:szCs w:val="20"/>
        </w:rPr>
      </w:pPr>
    </w:p>
    <w:p w14:paraId="54DC95E9">
      <w:pPr>
        <w:spacing w:after="0" w:line="240" w:lineRule="auto"/>
        <w:jc w:val="center"/>
        <w:rPr>
          <w:rFonts w:ascii="Times New Roman" w:hAnsi="Times New Roman" w:cs="Times New Roman"/>
          <w:sz w:val="20"/>
          <w:szCs w:val="20"/>
        </w:rPr>
      </w:pPr>
    </w:p>
    <w:p w14:paraId="3B5E79B7">
      <w:pPr>
        <w:spacing w:after="0" w:line="240" w:lineRule="auto"/>
        <w:jc w:val="center"/>
        <w:rPr>
          <w:rFonts w:ascii="Times New Roman" w:hAnsi="Times New Roman" w:cs="Times New Roman"/>
          <w:sz w:val="20"/>
          <w:szCs w:val="20"/>
        </w:rPr>
      </w:pPr>
    </w:p>
    <w:p w14:paraId="17024611">
      <w:pPr>
        <w:spacing w:after="0" w:line="240" w:lineRule="auto"/>
        <w:jc w:val="center"/>
        <w:rPr>
          <w:rFonts w:ascii="Times New Roman" w:hAnsi="Times New Roman" w:cs="Times New Roman"/>
          <w:sz w:val="20"/>
          <w:szCs w:val="20"/>
        </w:rPr>
      </w:pPr>
    </w:p>
    <w:p w14:paraId="2D6F1B19">
      <w:pPr>
        <w:spacing w:after="0" w:line="240" w:lineRule="auto"/>
        <w:jc w:val="center"/>
        <w:rPr>
          <w:rFonts w:ascii="Times New Roman" w:hAnsi="Times New Roman" w:cs="Times New Roman"/>
          <w:sz w:val="20"/>
          <w:szCs w:val="20"/>
        </w:rPr>
      </w:pPr>
    </w:p>
    <w:p w14:paraId="3C23FABD">
      <w:pPr>
        <w:spacing w:after="0" w:line="240" w:lineRule="auto"/>
        <w:jc w:val="center"/>
        <w:rPr>
          <w:rFonts w:ascii="Times New Roman" w:hAnsi="Times New Roman" w:cs="Times New Roman"/>
          <w:sz w:val="20"/>
          <w:szCs w:val="20"/>
        </w:rPr>
      </w:pPr>
    </w:p>
    <w:p w14:paraId="62885084">
      <w:pPr>
        <w:spacing w:after="0" w:line="240" w:lineRule="auto"/>
        <w:jc w:val="center"/>
        <w:rPr>
          <w:rFonts w:ascii="Times New Roman" w:hAnsi="Times New Roman" w:cs="Times New Roman"/>
          <w:sz w:val="20"/>
          <w:szCs w:val="20"/>
        </w:rPr>
      </w:pPr>
    </w:p>
    <w:p w14:paraId="015B23E2">
      <w:pPr>
        <w:spacing w:after="0" w:line="240" w:lineRule="auto"/>
        <w:jc w:val="center"/>
        <w:rPr>
          <w:rFonts w:ascii="Times New Roman" w:hAnsi="Times New Roman" w:cs="Times New Roman"/>
          <w:sz w:val="20"/>
          <w:szCs w:val="20"/>
        </w:rPr>
      </w:pPr>
    </w:p>
    <w:p w14:paraId="5126D4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Graph:2 shows the Average body weight in all the ponds</w:t>
      </w:r>
    </w:p>
    <w:p w14:paraId="3138DEB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en-IN"/>
        </w:rPr>
        <w:drawing>
          <wp:inline distT="0" distB="0" distL="0" distR="0">
            <wp:extent cx="4743450" cy="16668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D727DF">
      <w:pPr>
        <w:spacing w:after="0" w:line="240" w:lineRule="auto"/>
        <w:jc w:val="center"/>
        <w:rPr>
          <w:rFonts w:ascii="Times New Roman" w:hAnsi="Times New Roman" w:cs="Times New Roman"/>
          <w:sz w:val="20"/>
          <w:szCs w:val="20"/>
        </w:rPr>
      </w:pPr>
    </w:p>
    <w:p w14:paraId="1F5E6B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Graph:3 shows the feed conversion ratio in all the ponds</w:t>
      </w:r>
    </w:p>
    <w:p w14:paraId="5E7316FB">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en-IN"/>
        </w:rPr>
        <w:drawing>
          <wp:inline distT="0" distB="0" distL="0" distR="0">
            <wp:extent cx="4886325" cy="17526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DB6555">
      <w:pPr>
        <w:spacing w:after="0" w:line="240" w:lineRule="auto"/>
        <w:jc w:val="center"/>
        <w:rPr>
          <w:rFonts w:ascii="Times New Roman" w:hAnsi="Times New Roman" w:cs="Times New Roman"/>
          <w:sz w:val="20"/>
          <w:szCs w:val="20"/>
        </w:rPr>
      </w:pPr>
    </w:p>
    <w:p w14:paraId="6BE194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Graph:4 shows the production in all the ponds</w:t>
      </w:r>
    </w:p>
    <w:p w14:paraId="6280DE9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en-IN"/>
        </w:rPr>
        <w:drawing>
          <wp:inline distT="0" distB="0" distL="0" distR="0">
            <wp:extent cx="5114925" cy="21240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85F24E">
      <w:pPr>
        <w:spacing w:after="0" w:line="240" w:lineRule="auto"/>
        <w:jc w:val="both"/>
        <w:rPr>
          <w:rFonts w:ascii="Times New Roman" w:hAnsi="Times New Roman" w:cs="Times New Roman"/>
          <w:sz w:val="20"/>
          <w:szCs w:val="20"/>
        </w:rPr>
      </w:pPr>
    </w:p>
    <w:p w14:paraId="42981A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the Pond 2 and Pond B certain percentage of shrimps noticed with antennae cut and Uropods turned normal to red in color, Hepatopancreas turns reddish yellow and finally entire body turns pale white in color . Continuous internal mortality is noticed daily in the check tray. But in the Pond 1 and Pond A no mortality was recorded because the continues usage of specific probiotic. </w:t>
      </w:r>
    </w:p>
    <w:p w14:paraId="47A7FB85">
      <w:pPr>
        <w:spacing w:after="0" w:line="240" w:lineRule="auto"/>
        <w:jc w:val="both"/>
        <w:rPr>
          <w:rFonts w:ascii="Times New Roman" w:hAnsi="Times New Roman" w:cs="Times New Roman"/>
          <w:sz w:val="20"/>
          <w:szCs w:val="20"/>
        </w:rPr>
      </w:pPr>
    </w:p>
    <w:p w14:paraId="274EDAE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Discussion</w:t>
      </w:r>
    </w:p>
    <w:p w14:paraId="6337D90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present study, the water quality parameters in the grow-out ponds, including salinity, dissolved oxygen, and pH, consistently remained within the optimal ranges for Pacific white shrimp culture, as established by Gunalan et al. (2011, 2013) and Cohen et al. (2005). The average pH values, ranging from 7.9 to 8.5, align with the recommended range for optimal performance in the penaeid family, as reported by Soundarapandian and Gunalan (2008) and Cohen et al. (2005).</w:t>
      </w:r>
    </w:p>
    <w:p w14:paraId="5450BA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Several studies have demonstrated successful ammonia reduction in limited or zero-exchange culture systems through the manipulation of the carbon-to-nitrogen ratio. This process facilitates the assimilation of inorganic nitrogen compounds and promotes the production of microbial biomass, as highlighted by Gao et al. (2012) and Samocha et al. (2007). In the present study, the lowest ammonia concentrations were consistently observed across all grow-out ponds. This outcome can be attributed to the maintenance of proper water quality and rigorous feed management practices, a finding consistent with the work of Gaona et al. (2011).</w:t>
      </w:r>
    </w:p>
    <w:p w14:paraId="65DA705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present study, Pond 2 and Pond B exhibited lower survival and growth rates compared to the other two ponds. Slow mortality was observed in these ponds starting from the 45th day of culture (DOC) onward. Initially, 2–3 cannibalized shrimp were found in the check trays, followed by an increase in the number of dead shrimp observed under aerators and in the center of the ponds. This indicated the onset of Running Mortality Syndrome (RMS), which gradually affected the shrimp population. As a result, Pond 2 and Pond B recorded significantly poorer survival rates compared to the other two ponds.</w:t>
      </w:r>
    </w:p>
    <w:p w14:paraId="2C78BC3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This issue has been widely reported in various studies. Venkateswarlu et al. (2019) documented RMS outbreaks in the Guntur, Krishna, West Godavari, and East Godavari districts of Andhra Pradesh. Similarly, Alavandi et al. (2019) recorded RMS problems in over 25 farms across the Nellore and West Godavari districts of Andhra Pradesh. Akshay Mandal and Malay Duyari (2024) studied RMS outbreaks in West Bengal and Tamil Nadu, while Anisha Shafni John et al. (2024) reported RMS infections in Tamil Nadu. Srinivas et al. (2016) identified RMS as a new syndrome in the Nellore district, and Srinivas Rao et al. (2021) reported RMS in 185 shrimp ponds in the Visakhapatnam district, located in the North Coastal Andhra region.</w:t>
      </w:r>
    </w:p>
    <w:p w14:paraId="0FAF731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The use of probiotics in aquaculture is a well-established method to enhance the health status of aquatic animals, and their application for disease control has been widely discussed. Rammohan Rao et al. (2017) utilized herbal feed supplements to address the Running Mortality Syndrome (RMS) problem. However, in the present study, a novel technique was implemented to effectively overcome RMS.</w:t>
      </w:r>
    </w:p>
    <w:p w14:paraId="22B991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this study, Pond 1 and Pond A demonstrated exceptional results, with high survival rates ranging from 95% to 97%, a feed conversion ratio (FCR) of 1.2, and total production yields of 10.3 to 11.3 tons. These ponds were cultured alongside Pond 2 and Pond B, but Pond 1 and Pond A were managed with specific probiotic and feed supplement protocols to maintain optimal water quality and prevent RMS.</w:t>
      </w:r>
    </w:p>
    <w:p w14:paraId="47B85D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management strategy included the application of 3 kg of Trooper every 10 days after stocking, starting prior to probiotic applications and continuing until harvest. From the 3rd day of culture (DOC) onward, water probiotics (Bio Treat) were applied every 10 days. Starting from 30 DOC, soil probiotics (Bottom Care) were also applied every 10 days. Additionally, from 30 DOC onward, GUT probiotics (GUT Rider) were mixed with feed at a rate of 10g/kg and administered during two meals every alternate day. From 40 DOC onward, chelated minerals (VIGOURMIN) were added as a feed supplement at a rate of 10g/kg, mixed with feed, and given during two meals every alternate day until harvest.</w:t>
      </w:r>
    </w:p>
    <w:p w14:paraId="2DEDDB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targeted use of probiotics and feed supplements played a crucial role in preventing RMS in Pond 1 and Pond A. Based on these findings, this study strongly recommends that shrimp farmers adopt specific probiotic and supplement protocols to effectively overcome Running Mortality Syndrome.</w:t>
      </w:r>
    </w:p>
    <w:p w14:paraId="365D7709">
      <w:pPr>
        <w:spacing w:after="0" w:line="240" w:lineRule="auto"/>
        <w:jc w:val="both"/>
        <w:rPr>
          <w:rFonts w:ascii="Times New Roman" w:hAnsi="Times New Roman" w:cs="Times New Roman"/>
          <w:b/>
          <w:sz w:val="20"/>
          <w:szCs w:val="20"/>
        </w:rPr>
      </w:pPr>
    </w:p>
    <w:p w14:paraId="614A868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References</w:t>
      </w:r>
    </w:p>
    <w:p w14:paraId="75D2586F">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Akshay Mandal  and  Malay Duyari 2024.  A Case Study on Current Disease Threats Faced by Vannamei Shrimp Farmers in South-East India. International Journal of Research Publication and Reviews, Vol 5, no 2, pp 2482-2489.</w:t>
      </w:r>
    </w:p>
    <w:p w14:paraId="21978240">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Alavandi S.V., Muralidhar M., Dayal J.S., Rajan J.S., Praveena P.E., Bhuvaneswari T., Otta S.K. 2019. Investigation on the infectious nature of Running Mortality Syndrome (RMS) of farmed Pacific white leg shrimp, Penaeus vannamei in shrimp farms of India. Aquaculture, 500: 278-289.</w:t>
      </w:r>
    </w:p>
    <w:p w14:paraId="4C6CA8B1">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Anisha Shafni John, Ayyaru Gopalakrishnan, Naveen Nivas, Bharath Gunasekaran, Savva Sravani, Poulami Poddar , 2024.  Incidence of running mortality syndrome (RMS) in Pacific whiteleg shrimp, Litopenaeus vannamei, in an intensive biofloc grow-out pond . Int. J. Aquat. Biol.  12(1): 11-19.</w:t>
      </w:r>
    </w:p>
    <w:p w14:paraId="7F90672A">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Cohen J, Samocha TM, Fox JM, Gandy RL, Lawrence AL. 2005. Characterization of water quality factors during intensive raceway production of juvenile Litopenaeus vannamei using limited discharge and biosecure management tools.. Aquacultural Engineering. 32:425-442.</w:t>
      </w:r>
    </w:p>
    <w:p w14:paraId="61D2A06E">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FAO 2013. Report of the FAO/MARD technical workshop on early mortality syndrome (EMS) or acute hepatopancreatic necrosis syndrome (AHPNS) of cultured shrimp (under TCP/VIE/3304). Hanoi, Viet Nam, 25-27. FAO Fisheries and Aquaculture Report No. 1053, Rome. 54 p.</w:t>
      </w:r>
    </w:p>
    <w:p w14:paraId="686184A2">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Gao L, Shan HW, Zhang TW, Bao WZ, Ma SJ. 2012. Effects of carbohydrate addition on Litopenaeus vannamei intensive culture in a zero-water exchange system. Aquaculture:342:89-96. </w:t>
      </w:r>
    </w:p>
    <w:p w14:paraId="002A318B">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Gaona CA, Poersch PL, Krummenauer HD, Foes GK, Wasielesky W. 2011.The effect of solids removal on water quality, growth and survival of Litopenaeus vannamei in a biofloc technology culture system. International Journal of Recirculating Aquaculture:2:54-73.</w:t>
      </w:r>
    </w:p>
    <w:p w14:paraId="6DBB4A2E">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Gunalan B, Nina Tabitha S, Soundarapandian P, Anand T.2013. An experimental study of the effects of different salinities on the growth and survival of L. vannamei. Cont. J Biol. Sci. 6(2):1-8.  </w:t>
      </w:r>
    </w:p>
    <w:p w14:paraId="4519B8C1">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Gunalan B, Soundarapandian P, Kumaran R, Anand T, Kotiya AS.2011. First report on White Spot Syndrome Virus (WSSV) infection in white leg shrimp Litopenaeus vannamei (Crustacea, Penaeidae) under semi intensive culture condition . AACL Bioflux 4(3):301-305</w:t>
      </w:r>
    </w:p>
    <w:p w14:paraId="06D19783">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Johnson C.N., Flowers A.R., Noriea N.F., Zimmerman A.M., Bowers J.C., DePaola A., Grimes D.J. 2010. Relationships between environmental factors and pathogenic vibrios in the Northern Gulf of Mexico. Applied and Environmental Microbiology, 76: 7076-7084.</w:t>
      </w:r>
    </w:p>
    <w:p w14:paraId="31AE3670">
      <w:pPr>
        <w:pStyle w:val="9"/>
        <w:numPr>
          <w:ilvl w:val="0"/>
          <w:numId w:val="1"/>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Joseph Selvin AS, Ninawe Lipton AP.2009. Disease management (prospective approaches), Ane Books Pvt. Ltd. Thomson Press, India, ISBN (10): 81-9083-229-8.</w:t>
      </w:r>
    </w:p>
    <w:p w14:paraId="036B22DC">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Kalaimani, N., Ravisankar, T., Chakravarthy, N., Raja, S., Santiago, T.C. and Ponniah, A.G. 2013. Economic Losses due to Disease Incidences in Shrimp Farms of India. Fish. Techn. 50: 80-86.</w:t>
      </w:r>
    </w:p>
    <w:p w14:paraId="4024FFEE">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de-AT"/>
        </w:rPr>
        <w:t xml:space="preserve">Rammohan Rao  E, CH Venkatrayulu and V Venkateswarlu, 2017.  </w:t>
      </w:r>
      <w:r>
        <w:rPr>
          <w:rFonts w:ascii="Times New Roman" w:hAnsi="Times New Roman" w:cs="Times New Roman"/>
          <w:sz w:val="20"/>
          <w:szCs w:val="20"/>
        </w:rPr>
        <w:t>Effect of herbal feed supplement Phytozoi on Running Mortality Syndrome in white leg shrimp Litopenaeus vannamei (Boone, 1931) farming . International Journal of Fisheries and Aquatic Studies  5(3): 365-368.</w:t>
      </w:r>
    </w:p>
    <w:p w14:paraId="667B152A">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sv-SE"/>
        </w:rPr>
        <w:t xml:space="preserve">Rao N.V., Satyanarayana A. 2020. </w:t>
      </w:r>
      <w:r>
        <w:rPr>
          <w:rFonts w:ascii="Times New Roman" w:hAnsi="Times New Roman" w:cs="Times New Roman"/>
          <w:sz w:val="20"/>
          <w:szCs w:val="20"/>
        </w:rPr>
        <w:t>Running Mortality Syndrome (RMS)-A New Disease that Struck the Indian Shrimp Industry. International Journal of Current Microbiology Application Science, 9(1): 1928-1934.</w:t>
      </w:r>
    </w:p>
    <w:p w14:paraId="1AE7E5F2">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Samocha TM, Patnaik S, Speed M, Ali AM, Burger JM, Almeida RV, 2007. Use of molasses as carbon source in limited discharge nursery and grow-out systems for Litopenaeus vannamei. Aquacultural Engineering:36:184-191.</w:t>
      </w:r>
    </w:p>
    <w:p w14:paraId="4D6D27CA">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Soundarapandian P, Gunalan B.2008. Recent technology for the survival and production of giant tiger shrimp Penaeus monodon along South East Coast of India. International Journal of Zoological Research. 4(1):21-27.  </w:t>
      </w:r>
    </w:p>
    <w:p w14:paraId="6F9C5708">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val="sv-SE"/>
        </w:rPr>
        <w:t xml:space="preserve">Srinivas D, Venkatryalu Ch, Laxmappa B.2016. </w:t>
      </w:r>
      <w:r>
        <w:rPr>
          <w:rFonts w:ascii="Times New Roman" w:hAnsi="Times New Roman" w:cs="Times New Roman"/>
          <w:sz w:val="20"/>
          <w:szCs w:val="20"/>
        </w:rPr>
        <w:t>Identifying diseases affecting farmed Litopenaeus vannamei in different areas of Nellore district in Andhra Pradesh, India, International Journal of Fisheries and Aquatic studies.  4(2):447-451.</w:t>
      </w:r>
    </w:p>
    <w:p w14:paraId="5BC3C843">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Srinivasa rao A. B.Suneel kumar and Dr.C.Manjulatha 2021.  Identifying diseases affecting farmed Litopenaeus vannamei in different areas of visakhapatnam district in Andhra Pradesh, India .  IJCRT | Volume 9, Issue 1</w:t>
      </w:r>
    </w:p>
    <w:p w14:paraId="00E6A403">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Sung, H.H., Li, H.C., Tsai, F.M., Ting, Y.Y., Chao, W.L., 1999. Changes in the composition of Vibrio communities in pond water during tiger shrimp (Penaeus monodon) cultivation and in the hepatopancreas of healthy and diseased shrimpJournal of Experimental Marine Biology and Ecology, 236: 261-271.</w:t>
      </w:r>
    </w:p>
    <w:p w14:paraId="54B1212C">
      <w:pPr>
        <w:autoSpaceDE w:val="0"/>
        <w:autoSpaceDN w:val="0"/>
        <w:adjustRightInd w:val="0"/>
        <w:spacing w:after="0" w:line="240" w:lineRule="auto"/>
        <w:ind w:left="426" w:hanging="426"/>
        <w:jc w:val="both"/>
        <w:rPr>
          <w:rFonts w:ascii="Times New Roman" w:hAnsi="Times New Roman" w:cs="Times New Roman"/>
          <w:sz w:val="20"/>
          <w:szCs w:val="20"/>
        </w:rPr>
      </w:pPr>
    </w:p>
    <w:p w14:paraId="2B2EA942">
      <w:pPr>
        <w:pStyle w:val="9"/>
        <w:numPr>
          <w:ilvl w:val="0"/>
          <w:numId w:val="1"/>
        </w:num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Venkateswarlu  V, P.V. Seshaiah, P. C. Behra, 2019.A Study on Diseases Affecting Litopenaeus vannamei Farming in Coastal Districts of Andhra Pradesh, India. International Journal for Research in Applied Science &amp; Engineering Technology (IJRASET) Volume 7 Issue VII (1301 -1306). </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1066" w:bottom="964" w:left="1168" w:header="851" w:footer="77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FreeSerif">
    <w:altName w:val="Segoe Print"/>
    <w:panose1 w:val="000000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rPr>
      <w:id w:val="-339929023"/>
      <w:docPartObj>
        <w:docPartGallery w:val="autotext"/>
      </w:docPartObj>
    </w:sdtPr>
    <w:sdtEndPr>
      <w:rPr>
        <w:rFonts w:ascii="Times New Roman" w:hAnsi="Times New Roman" w:cs="Times New Roman"/>
        <w:sz w:val="20"/>
      </w:rPr>
    </w:sdtEndPr>
    <w:sdtContent>
      <w:p w14:paraId="04F871D4">
        <w:pPr>
          <w:pStyle w:val="4"/>
          <w:tabs>
            <w:tab w:val="right" w:pos="9639"/>
          </w:tabs>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rPr>
      <w:id w:val="600455508"/>
      <w:docPartObj>
        <w:docPartGallery w:val="autotext"/>
      </w:docPartObj>
    </w:sdtPr>
    <w:sdtEndPr>
      <w:rPr>
        <w:rFonts w:ascii="Times New Roman" w:hAnsi="Times New Roman" w:cs="Times New Roman"/>
        <w:sz w:val="20"/>
      </w:rPr>
    </w:sdtEndPr>
    <w:sdtContent>
      <w:p w14:paraId="0C54EFB3">
        <w:pPr>
          <w:pStyle w:val="4"/>
          <w:tabs>
            <w:tab w:val="right" w:pos="9639"/>
          </w:tabs>
          <w:jc w:val="right"/>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1</w:t>
        </w:r>
        <w:r>
          <w:rPr>
            <w:rFonts w:ascii="Times New Roman" w:hAnsi="Times New Roman" w:cs="Times New Roman"/>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0080">
    <w:pPr>
      <w:pStyle w:val="4"/>
      <w:rPr>
        <w:rFonts w:hint="default"/>
        <w:lang w:val="en-IN"/>
      </w:rPr>
    </w:pPr>
    <w:r>
      <w:rPr>
        <w:rFonts w:hint="default"/>
        <w:lang w:val="en-IN"/>
      </w:rPr>
      <w:t xml:space="preserve">                                                                                                                                                                                             1</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8CE8">
    <w:pPr>
      <w:pBdr>
        <w:bottom w:val="single" w:color="auto" w:sz="4" w:space="1"/>
      </w:pBdr>
      <w:tabs>
        <w:tab w:val="center" w:pos="5103"/>
        <w:tab w:val="right" w:pos="9638"/>
      </w:tabs>
      <w:spacing w:after="0" w:line="240" w:lineRule="auto"/>
      <w:ind w:right="34"/>
      <w:rPr>
        <w:rFonts w:ascii="Times New Roman" w:hAnsi="Times New Roman" w:cs="Times New Roman"/>
        <w:sz w:val="20"/>
      </w:rPr>
    </w:pPr>
    <w:r>
      <w:rPr>
        <w:rFonts w:ascii="Times New Roman" w:hAnsi="Times New Roman" w:cs="Times New Roman"/>
        <w:sz w:val="20"/>
      </w:rPr>
      <w:t xml:space="preserve">Journal of Survey in Fisheries Sciences </w:t>
    </w:r>
    <w:r>
      <w:rPr>
        <w:rFonts w:ascii="Times New Roman" w:hAnsi="Times New Roman" w:cs="Times New Roman"/>
        <w:sz w:val="20"/>
      </w:rPr>
      <w:tab/>
    </w:r>
    <w:r>
      <w:rPr>
        <w:rFonts w:ascii="Times New Roman" w:hAnsi="Times New Roman" w:cs="Times New Roman"/>
        <w:sz w:val="20"/>
      </w:rPr>
      <w:t xml:space="preserve">                   13(1) 01-06</w:t>
    </w:r>
    <w:r>
      <w:rPr>
        <w:rFonts w:ascii="Times New Roman" w:hAnsi="Times New Roman" w:cs="Times New Roman"/>
        <w:sz w:val="20"/>
      </w:rPr>
      <w:tab/>
    </w:r>
    <w:r>
      <w:rPr>
        <w:rFonts w:ascii="Times New Roman" w:hAnsi="Times New Roman" w:cs="Times New Roman"/>
        <w:sz w:val="20"/>
      </w:rPr>
      <w:t>2026</w:t>
    </w:r>
  </w:p>
  <w:p w14:paraId="1D23DB2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67EB">
    <w:pPr>
      <w:pBdr>
        <w:bottom w:val="single" w:color="auto" w:sz="4" w:space="1"/>
      </w:pBd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Effect Of Probiotics And Feed Supplements On Running Mortality Syndrome (RMS) In Whiteleg Shrimp (Litopenaeus Vannamei, Boone, 1931) Culture In Andhra Pradesh</w:t>
    </w:r>
  </w:p>
  <w:p w14:paraId="4EE29AE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F966">
    <w:pPr>
      <w:tabs>
        <w:tab w:val="center" w:pos="5103"/>
        <w:tab w:val="right" w:pos="9638"/>
      </w:tabs>
      <w:spacing w:after="0" w:line="240" w:lineRule="auto"/>
      <w:ind w:right="34"/>
      <w:rPr>
        <w:rFonts w:ascii="Times New Roman" w:hAnsi="Times New Roman" w:cs="Times New Roman"/>
        <w:sz w:val="20"/>
      </w:rPr>
    </w:pPr>
    <w:r>
      <w:rPr>
        <w:rFonts w:ascii="Times New Roman" w:hAnsi="Times New Roman" w:cs="Times New Roman"/>
        <w:sz w:val="20"/>
      </w:rPr>
      <w:t xml:space="preserve">Journal of Survey in Fisheries Sciences </w:t>
    </w:r>
    <w:r>
      <w:rPr>
        <w:rFonts w:ascii="Times New Roman" w:hAnsi="Times New Roman" w:cs="Times New Roman"/>
        <w:sz w:val="20"/>
      </w:rPr>
      <w:tab/>
    </w:r>
    <w:r>
      <w:rPr>
        <w:rFonts w:ascii="Times New Roman" w:hAnsi="Times New Roman" w:cs="Times New Roman"/>
        <w:sz w:val="20"/>
      </w:rPr>
      <w:t xml:space="preserve">                   13(1) 01-06</w:t>
    </w:r>
    <w:r>
      <w:rPr>
        <w:rFonts w:ascii="Times New Roman" w:hAnsi="Times New Roman" w:cs="Times New Roman"/>
        <w:sz w:val="20"/>
      </w:rPr>
      <w:tab/>
    </w:r>
    <w:r>
      <w:rPr>
        <w:rFonts w:ascii="Times New Roman" w:hAnsi="Times New Roman" w:cs="Times New Roman"/>
        <w:sz w:val="20"/>
      </w:rPr>
      <w:t>2026</w:t>
    </w:r>
  </w:p>
  <w:p w14:paraId="5D61C069">
    <w:pPr>
      <w:pStyle w:val="5"/>
    </w:pPr>
    <w:r>
      <w:rPr>
        <w:rFonts w:ascii="Times New Roman" w:hAnsi="Times New Roman" w:cs="Times New Roman"/>
        <w:lang w:val="en-US"/>
      </w:rPr>
      <mc:AlternateContent>
        <mc:Choice Requires="wpg">
          <w:drawing>
            <wp:inline distT="0" distB="0" distL="0" distR="0">
              <wp:extent cx="6109970" cy="565150"/>
              <wp:effectExtent l="9525" t="9525" r="5080" b="44450"/>
              <wp:docPr id="1966214784" name="Group 1966214784"/>
              <wp:cNvGraphicFramePr/>
              <a:graphic xmlns:a="http://schemas.openxmlformats.org/drawingml/2006/main">
                <a:graphicData uri="http://schemas.microsoft.com/office/word/2010/wordprocessingGroup">
                  <wpg:wgp>
                    <wpg:cNvGrpSpPr/>
                    <wpg:grpSpPr>
                      <a:xfrm>
                        <a:off x="0" y="0"/>
                        <a:ext cx="6109970" cy="565150"/>
                        <a:chOff x="0" y="0"/>
                        <a:chExt cx="53644" cy="5654"/>
                      </a:xfrm>
                    </wpg:grpSpPr>
                    <wps:wsp>
                      <wps:cNvPr id="1031506268" name="Shape 6"/>
                      <wps:cNvSpPr/>
                      <wps:spPr bwMode="auto">
                        <a:xfrm>
                          <a:off x="0" y="0"/>
                          <a:ext cx="53644" cy="0"/>
                        </a:xfrm>
                        <a:custGeom>
                          <a:avLst/>
                          <a:gdLst>
                            <a:gd name="T0" fmla="*/ 0 w 5364480"/>
                            <a:gd name="T1" fmla="*/ 5 w 5364480"/>
                            <a:gd name="T2" fmla="*/ 0 60000 65536"/>
                            <a:gd name="T3" fmla="*/ 0 60000 65536"/>
                            <a:gd name="T4" fmla="*/ 0 w 5364480"/>
                            <a:gd name="T5" fmla="*/ 5364480 w 5364480"/>
                          </a:gdLst>
                          <a:ahLst/>
                          <a:cxnLst>
                            <a:cxn ang="T2">
                              <a:pos x="T0" y="0"/>
                            </a:cxn>
                            <a:cxn ang="T3">
                              <a:pos x="T1" y="0"/>
                            </a:cxn>
                          </a:cxnLst>
                          <a:rect l="T4" t="0" r="T5" b="0"/>
                          <a:pathLst>
                            <a:path w="5364480">
                              <a:moveTo>
                                <a:pt x="0" y="0"/>
                              </a:moveTo>
                              <a:lnTo>
                                <a:pt x="5364480" y="0"/>
                              </a:lnTo>
                            </a:path>
                          </a:pathLst>
                        </a:custGeom>
                        <a:noFill/>
                        <a:ln w="6350">
                          <a:solidFill>
                            <a:srgbClr val="000000"/>
                          </a:solidFill>
                          <a:round/>
                        </a:ln>
                      </wps:spPr>
                      <wps:bodyPr rot="0" vert="horz" wrap="square" lIns="91440" tIns="45720" rIns="91440" bIns="45720" anchor="t" anchorCtr="0" upright="1">
                        <a:noAutofit/>
                      </wps:bodyPr>
                    </wps:wsp>
                    <wps:wsp>
                      <wps:cNvPr id="656838983" name="Rectangle 21"/>
                      <wps:cNvSpPr>
                        <a:spLocks noChangeArrowheads="1"/>
                      </wps:cNvSpPr>
                      <wps:spPr bwMode="auto">
                        <a:xfrm>
                          <a:off x="12118" y="4253"/>
                          <a:ext cx="420" cy="1863"/>
                        </a:xfrm>
                        <a:prstGeom prst="rect">
                          <a:avLst/>
                        </a:prstGeom>
                        <a:noFill/>
                        <a:ln>
                          <a:noFill/>
                        </a:ln>
                      </wps:spPr>
                      <wps:txbx>
                        <w:txbxContent>
                          <w:p w14:paraId="0931A180">
                            <w:r>
                              <w:t xml:space="preserve"> </w:t>
                            </w:r>
                          </w:p>
                        </w:txbxContent>
                      </wps:txbx>
                      <wps:bodyPr rot="0" vert="horz" wrap="square" lIns="0" tIns="0" rIns="0" bIns="0" anchor="t" anchorCtr="0" upright="1">
                        <a:noAutofit/>
                      </wps:bodyPr>
                    </wps:wsp>
                    <pic:pic xmlns:pic="http://schemas.openxmlformats.org/drawingml/2006/picture">
                      <pic:nvPicPr>
                        <pic:cNvPr id="2017306053"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304" y="1228"/>
                          <a:ext cx="11789" cy="4153"/>
                        </a:xfrm>
                        <a:prstGeom prst="rect">
                          <a:avLst/>
                        </a:prstGeom>
                        <a:noFill/>
                      </pic:spPr>
                    </pic:pic>
                  </wpg:wgp>
                </a:graphicData>
              </a:graphic>
            </wp:inline>
          </w:drawing>
        </mc:Choice>
        <mc:Fallback>
          <w:pict>
            <v:group id="_x0000_s1026" o:spid="_x0000_s1026" o:spt="203" style="height:44.5pt;width:481.1pt;" coordsize="53644,5654" o:gfxdata="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">
              <o:lock v:ext="edit" aspectratio="f"/>
              <v:shape id="Shape 6" o:spid="_x0000_s1026" o:spt="100" style="position:absolute;left:0;top:0;height:0;width:53644;" filled="f" stroked="t" coordsize="5364480,1" o:gfxdata="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wX+LwwAAAOMAAAAPAAAAAAAAAAEAIAAAACIAAABkcnMvZG93bnJldi54bWxQSwECFAAUAAAACACH&#10;TuJAMy8FnjsAAAA5AAAAEAAAAAAAAAABACAAAAASAQAAZHJzL3NoYXBleG1sLnhtbFBLBQYAAAAA&#10;BgAGAFsBAAC8AwAAAAA=&#10;" path="m0,0l5364480,0e">
                <v:path o:connectlocs="0,0;0,0" o:connectangles="0,0"/>
                <v:fill on="f" focussize="0,0"/>
                <v:stroke weight="0.5pt" color="#000000" joinstyle="round"/>
                <v:imagedata o:title=""/>
                <o:lock v:ext="edit" aspectratio="f"/>
              </v:shape>
              <v:rect id="Rectangle 21" o:spid="_x0000_s1026" o:spt="1" style="position:absolute;left:12118;top:4253;height:1863;width:420;" filled="f" stroked="f" coordsize="21600,21600" o:gfxdata="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nPWUs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0931A180">
                      <w:r>
                        <w:t xml:space="preserve"> </w:t>
                      </w:r>
                    </w:p>
                  </w:txbxContent>
                </v:textbox>
              </v:rect>
              <v:shape id="Picture 96" o:spid="_x0000_s1026" o:spt="75" type="#_x0000_t75" style="position:absolute;left:304;top:1228;height:4153;width:11789;" filled="f" o:preferrelative="t" stroked="f" coordsize="21600,21600" o:gfxdata="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8GM+nxgAAAOMAAAAPAAAAAAAAAAEAIAAAACIAAABkcnMvZG93bnJldi54bWxQSwECFAAUAAAA&#10;CACHTuJAMy8FnjsAAAA5AAAAEAAAAAAAAAABACAAAAAVAQAAZHJzL3NoYXBleG1sLnhtbFBLBQYA&#10;AAAABgAGAFsBAAC/AwAAAAA=&#10;">
                <v:fill on="f" focussize="0,0"/>
                <v:stroke on="f"/>
                <v:imagedata r:id="rId1" o:title=""/>
                <o:lock v:ext="edit" aspectratio="t"/>
              </v:shape>
              <w10:wrap type="non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F589F"/>
    <w:multiLevelType w:val="multilevel"/>
    <w:tmpl w:val="35EF58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65"/>
    <w:rsid w:val="00001602"/>
    <w:rsid w:val="00010FE5"/>
    <w:rsid w:val="00022936"/>
    <w:rsid w:val="00022B96"/>
    <w:rsid w:val="00043EDD"/>
    <w:rsid w:val="00064B55"/>
    <w:rsid w:val="000658F2"/>
    <w:rsid w:val="00066080"/>
    <w:rsid w:val="00073045"/>
    <w:rsid w:val="00082098"/>
    <w:rsid w:val="0009300D"/>
    <w:rsid w:val="000A1A8F"/>
    <w:rsid w:val="000A1D62"/>
    <w:rsid w:val="000A4D05"/>
    <w:rsid w:val="000A65C0"/>
    <w:rsid w:val="000B48B3"/>
    <w:rsid w:val="000D064C"/>
    <w:rsid w:val="000D264F"/>
    <w:rsid w:val="000D3BE4"/>
    <w:rsid w:val="000F1641"/>
    <w:rsid w:val="000F727A"/>
    <w:rsid w:val="00110179"/>
    <w:rsid w:val="00115108"/>
    <w:rsid w:val="0012241F"/>
    <w:rsid w:val="001427EC"/>
    <w:rsid w:val="00151A0D"/>
    <w:rsid w:val="00153D25"/>
    <w:rsid w:val="0015402C"/>
    <w:rsid w:val="00187E07"/>
    <w:rsid w:val="0019757E"/>
    <w:rsid w:val="001B7AAE"/>
    <w:rsid w:val="001C79CD"/>
    <w:rsid w:val="001D542D"/>
    <w:rsid w:val="001F5C1A"/>
    <w:rsid w:val="00285135"/>
    <w:rsid w:val="002865BC"/>
    <w:rsid w:val="002A6901"/>
    <w:rsid w:val="002B1CBA"/>
    <w:rsid w:val="002C23A6"/>
    <w:rsid w:val="002C68ED"/>
    <w:rsid w:val="002D3E73"/>
    <w:rsid w:val="00313AB8"/>
    <w:rsid w:val="00317A74"/>
    <w:rsid w:val="00323A78"/>
    <w:rsid w:val="003305CD"/>
    <w:rsid w:val="00363A71"/>
    <w:rsid w:val="00383421"/>
    <w:rsid w:val="0038630C"/>
    <w:rsid w:val="003B358B"/>
    <w:rsid w:val="003B5BFE"/>
    <w:rsid w:val="003B6F58"/>
    <w:rsid w:val="003E3718"/>
    <w:rsid w:val="003E4004"/>
    <w:rsid w:val="0040108B"/>
    <w:rsid w:val="004050E6"/>
    <w:rsid w:val="004051FC"/>
    <w:rsid w:val="00414DA1"/>
    <w:rsid w:val="00424D42"/>
    <w:rsid w:val="00443072"/>
    <w:rsid w:val="004A515E"/>
    <w:rsid w:val="004B29E6"/>
    <w:rsid w:val="004B7AC1"/>
    <w:rsid w:val="004F3272"/>
    <w:rsid w:val="00501D36"/>
    <w:rsid w:val="00503CA5"/>
    <w:rsid w:val="0051679E"/>
    <w:rsid w:val="00540963"/>
    <w:rsid w:val="0054221F"/>
    <w:rsid w:val="00552199"/>
    <w:rsid w:val="005570AE"/>
    <w:rsid w:val="00586D5D"/>
    <w:rsid w:val="005E0E78"/>
    <w:rsid w:val="00630CEA"/>
    <w:rsid w:val="0064320D"/>
    <w:rsid w:val="00660561"/>
    <w:rsid w:val="00663A23"/>
    <w:rsid w:val="00664265"/>
    <w:rsid w:val="006B688C"/>
    <w:rsid w:val="007247CA"/>
    <w:rsid w:val="00730E79"/>
    <w:rsid w:val="00762D12"/>
    <w:rsid w:val="0076383F"/>
    <w:rsid w:val="007763EF"/>
    <w:rsid w:val="007B5713"/>
    <w:rsid w:val="007D089F"/>
    <w:rsid w:val="007E4A3E"/>
    <w:rsid w:val="007F2698"/>
    <w:rsid w:val="008053D3"/>
    <w:rsid w:val="00815937"/>
    <w:rsid w:val="00840930"/>
    <w:rsid w:val="00856072"/>
    <w:rsid w:val="00870005"/>
    <w:rsid w:val="008748C2"/>
    <w:rsid w:val="00880896"/>
    <w:rsid w:val="008836F1"/>
    <w:rsid w:val="008837EA"/>
    <w:rsid w:val="00885815"/>
    <w:rsid w:val="008878A9"/>
    <w:rsid w:val="00893456"/>
    <w:rsid w:val="008938A6"/>
    <w:rsid w:val="00897723"/>
    <w:rsid w:val="008A58E2"/>
    <w:rsid w:val="008C5E83"/>
    <w:rsid w:val="008E67E7"/>
    <w:rsid w:val="008F452D"/>
    <w:rsid w:val="0093063C"/>
    <w:rsid w:val="009708B0"/>
    <w:rsid w:val="00990810"/>
    <w:rsid w:val="009A2AAA"/>
    <w:rsid w:val="009B2093"/>
    <w:rsid w:val="009B24A4"/>
    <w:rsid w:val="009B367E"/>
    <w:rsid w:val="009E05D5"/>
    <w:rsid w:val="009F688C"/>
    <w:rsid w:val="00A613B0"/>
    <w:rsid w:val="00A74CC3"/>
    <w:rsid w:val="00A96A30"/>
    <w:rsid w:val="00AC6285"/>
    <w:rsid w:val="00AD0A0D"/>
    <w:rsid w:val="00AE2426"/>
    <w:rsid w:val="00AE5BBF"/>
    <w:rsid w:val="00B11C2A"/>
    <w:rsid w:val="00B1735B"/>
    <w:rsid w:val="00B21DFD"/>
    <w:rsid w:val="00B602A9"/>
    <w:rsid w:val="00B749E2"/>
    <w:rsid w:val="00B908A3"/>
    <w:rsid w:val="00BA0C3A"/>
    <w:rsid w:val="00BA46A6"/>
    <w:rsid w:val="00BB2E15"/>
    <w:rsid w:val="00BC479B"/>
    <w:rsid w:val="00BD1C8B"/>
    <w:rsid w:val="00BE07AD"/>
    <w:rsid w:val="00BE0F9C"/>
    <w:rsid w:val="00BF5D06"/>
    <w:rsid w:val="00C21A70"/>
    <w:rsid w:val="00C421DB"/>
    <w:rsid w:val="00C4650F"/>
    <w:rsid w:val="00C4704B"/>
    <w:rsid w:val="00C818A2"/>
    <w:rsid w:val="00C81C84"/>
    <w:rsid w:val="00CB02D9"/>
    <w:rsid w:val="00CD3F8E"/>
    <w:rsid w:val="00D02DEF"/>
    <w:rsid w:val="00D25B94"/>
    <w:rsid w:val="00D91A69"/>
    <w:rsid w:val="00DA3F8E"/>
    <w:rsid w:val="00DD2468"/>
    <w:rsid w:val="00E133B6"/>
    <w:rsid w:val="00E36C64"/>
    <w:rsid w:val="00E42F14"/>
    <w:rsid w:val="00E72F89"/>
    <w:rsid w:val="00E90B8E"/>
    <w:rsid w:val="00EB5AE4"/>
    <w:rsid w:val="00F01CE0"/>
    <w:rsid w:val="00F170B9"/>
    <w:rsid w:val="00F45888"/>
    <w:rsid w:val="00F552B5"/>
    <w:rsid w:val="00F70BF0"/>
    <w:rsid w:val="00F87276"/>
    <w:rsid w:val="00F96404"/>
    <w:rsid w:val="00FA5321"/>
    <w:rsid w:val="00FC0805"/>
    <w:rsid w:val="00FF0739"/>
    <w:rsid w:val="00FF34F4"/>
    <w:rsid w:val="09381F46"/>
    <w:rsid w:val="174D0078"/>
    <w:rsid w:val="63E02AE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513"/>
        <w:tab w:val="right" w:pos="9026"/>
      </w:tabs>
      <w:spacing w:after="0" w:line="240" w:lineRule="auto"/>
    </w:pPr>
  </w:style>
  <w:style w:type="paragraph" w:styleId="5">
    <w:name w:val="header"/>
    <w:basedOn w:val="1"/>
    <w:link w:val="11"/>
    <w:unhideWhenUsed/>
    <w:qFormat/>
    <w:uiPriority w:val="99"/>
    <w:pPr>
      <w:tabs>
        <w:tab w:val="center" w:pos="4513"/>
        <w:tab w:val="right" w:pos="9026"/>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8">
    <w:name w:val="Strong"/>
    <w:basedOn w:val="2"/>
    <w:qFormat/>
    <w:uiPriority w:val="22"/>
    <w:rPr>
      <w:b/>
      <w:bCs/>
    </w:rPr>
  </w:style>
  <w:style w:type="paragraph" w:styleId="9">
    <w:name w:val="List Paragraph"/>
    <w:basedOn w:val="1"/>
    <w:qFormat/>
    <w:uiPriority w:val="34"/>
    <w:pPr>
      <w:ind w:left="720"/>
      <w:contextualSpacing/>
    </w:pPr>
  </w:style>
  <w:style w:type="paragraph" w:customStyle="1" w:styleId="10">
    <w:name w:val="Default"/>
    <w:qFormat/>
    <w:uiPriority w:val="0"/>
    <w:pPr>
      <w:autoSpaceDE w:val="0"/>
      <w:autoSpaceDN w:val="0"/>
      <w:adjustRightInd w:val="0"/>
      <w:spacing w:after="0" w:line="240" w:lineRule="auto"/>
    </w:pPr>
    <w:rPr>
      <w:rFonts w:ascii="FreeSerif" w:hAnsi="FreeSerif" w:cs="FreeSerif" w:eastAsiaTheme="minorHAnsi"/>
      <w:color w:val="000000"/>
      <w:sz w:val="24"/>
      <w:szCs w:val="24"/>
      <w:lang w:val="en-IN" w:eastAsia="en-US" w:bidi="ar-SA"/>
    </w:rPr>
  </w:style>
  <w:style w:type="character" w:customStyle="1" w:styleId="11">
    <w:name w:val="Header Char"/>
    <w:basedOn w:val="2"/>
    <w:link w:val="5"/>
    <w:qFormat/>
    <w:uiPriority w:val="99"/>
  </w:style>
  <w:style w:type="character" w:customStyle="1" w:styleId="12">
    <w:name w:val="Footer Char"/>
    <w:basedOn w:val="2"/>
    <w:link w:val="4"/>
    <w:qFormat/>
    <w:uiPriority w:val="99"/>
  </w:style>
  <w:style w:type="character" w:customStyle="1" w:styleId="13">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r>
              <a:rPr lang="en-US"/>
              <a:t>Survival %</a:t>
            </a:r>
            <a:endParaRPr lang="en-US"/>
          </a:p>
        </c:rich>
      </c:tx>
      <c:layout/>
      <c:overlay val="0"/>
      <c:spPr>
        <a:noFill/>
        <a:ln>
          <a:noFill/>
        </a:ln>
        <a:effectLst/>
      </c:spPr>
    </c:title>
    <c:autoTitleDeleted val="0"/>
    <c:plotArea>
      <c:layout/>
      <c:barChart>
        <c:barDir val="col"/>
        <c:grouping val="clustered"/>
        <c:varyColors val="0"/>
        <c:ser>
          <c:idx val="0"/>
          <c:order val="0"/>
          <c:tx>
            <c:strRef>
              <c:f>Sheet1!$C$3</c:f>
              <c:strCache>
                <c:ptCount val="1"/>
                <c:pt idx="0">
                  <c:v>survival %</c:v>
                </c:pt>
              </c:strCache>
            </c:strRef>
          </c:tx>
          <c:spPr>
            <a:solidFill>
              <a:srgbClr val="FFFF00"/>
            </a:solidFill>
            <a:ln>
              <a:noFill/>
            </a:ln>
            <a:effectLst/>
          </c:spPr>
          <c:invertIfNegative val="0"/>
          <c:dPt>
            <c:idx val="1"/>
            <c:invertIfNegative val="0"/>
            <c:bubble3D val="0"/>
            <c:spPr>
              <a:solidFill>
                <a:srgbClr val="00B0F0"/>
              </a:solidFill>
              <a:ln>
                <a:noFill/>
              </a:ln>
              <a:effectLst/>
            </c:spPr>
          </c:dPt>
          <c:dPt>
            <c:idx val="3"/>
            <c:invertIfNegative val="0"/>
            <c:bubble3D val="0"/>
            <c:spPr>
              <a:solidFill>
                <a:srgbClr val="00B0F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multiLvlStrRef>
              <c:f>Sheet1!$D$1:$G$2</c:f>
              <c:multiLvlStrCache>
                <c:ptCount val="4"/>
                <c:lvl>
                  <c:pt idx="0">
                    <c:v>Pond 1</c:v>
                  </c:pt>
                  <c:pt idx="1">
                    <c:v>Pond 2</c:v>
                  </c:pt>
                  <c:pt idx="2">
                    <c:v>Pond A</c:v>
                  </c:pt>
                  <c:pt idx="3">
                    <c:v>Pond B</c:v>
                  </c:pt>
                </c:lvl>
                <c:lvl>
                  <c:pt idx="0">
                    <c:v>Site 1</c:v>
                  </c:pt>
                  <c:pt idx="2">
                    <c:v>Site 2</c:v>
                  </c:pt>
                </c:lvl>
              </c:multiLvlStrCache>
            </c:multiLvlStrRef>
          </c:cat>
          <c:val>
            <c:numRef>
              <c:f>Sheet1!$D$3:$G$3</c:f>
              <c:numCache>
                <c:formatCode>0</c:formatCode>
                <c:ptCount val="4"/>
                <c:pt idx="0">
                  <c:v>97</c:v>
                </c:pt>
                <c:pt idx="1" c:formatCode="General">
                  <c:v>73</c:v>
                </c:pt>
                <c:pt idx="2">
                  <c:v>95</c:v>
                </c:pt>
                <c:pt idx="3" c:formatCode="General">
                  <c:v>70</c:v>
                </c:pt>
              </c:numCache>
            </c:numRef>
          </c:val>
        </c:ser>
        <c:dLbls>
          <c:showLegendKey val="0"/>
          <c:showVal val="0"/>
          <c:showCatName val="0"/>
          <c:showSerName val="0"/>
          <c:showPercent val="0"/>
          <c:showBubbleSize val="0"/>
        </c:dLbls>
        <c:gapWidth val="100"/>
        <c:overlap val="-24"/>
        <c:axId val="1592242687"/>
        <c:axId val="1592252255"/>
      </c:barChart>
      <c:catAx>
        <c:axId val="15922426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2"/>
                </a:solidFill>
                <a:latin typeface="+mn-lt"/>
                <a:ea typeface="+mn-ea"/>
                <a:cs typeface="+mn-cs"/>
              </a:defRPr>
            </a:pPr>
          </a:p>
        </c:txPr>
        <c:crossAx val="1592252255"/>
        <c:crosses val="autoZero"/>
        <c:auto val="1"/>
        <c:lblAlgn val="ctr"/>
        <c:lblOffset val="100"/>
        <c:noMultiLvlLbl val="0"/>
      </c:catAx>
      <c:valAx>
        <c:axId val="1592252255"/>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1592242687"/>
        <c:crosses val="autoZero"/>
        <c:crossBetween val="between"/>
      </c:valAx>
      <c:spPr>
        <a:noFill/>
        <a:ln>
          <a:noFill/>
        </a:ln>
        <a:effectLst/>
      </c:spPr>
    </c:plotArea>
    <c:plotVisOnly val="1"/>
    <c:dispBlanksAs val="gap"/>
    <c:showDLblsOverMax val="0"/>
    <c:extLst>
      <c:ext uri="{0b15fc19-7d7d-44ad-8c2d-2c3a37ce22c3}">
        <chartProps xmlns="https://web.wps.cn/et/2018/main" chartId="{a57ca549-7080-47d4-9634-903cd71be5ee}"/>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r>
              <a:rPr lang="en-IN"/>
              <a:t>ABW (grams)</a:t>
            </a:r>
            <a:endParaRPr lang="en-IN"/>
          </a:p>
        </c:rich>
      </c:tx>
      <c:layout/>
      <c:overlay val="0"/>
      <c:spPr>
        <a:noFill/>
        <a:ln>
          <a:noFill/>
        </a:ln>
        <a:effectLst/>
      </c:spPr>
    </c:title>
    <c:autoTitleDeleted val="0"/>
    <c:plotArea>
      <c:layout/>
      <c:barChart>
        <c:barDir val="col"/>
        <c:grouping val="clustered"/>
        <c:varyColors val="0"/>
        <c:ser>
          <c:idx val="0"/>
          <c:order val="0"/>
          <c:tx>
            <c:strRef>
              <c:f>Sheet1!$C$29</c:f>
              <c:strCache>
                <c:ptCount val="1"/>
                <c:pt idx="0">
                  <c:v>ABW</c:v>
                </c:pt>
              </c:strCache>
            </c:strRef>
          </c:tx>
          <c:spPr>
            <a:solidFill>
              <a:srgbClr val="FFFF00"/>
            </a:solidFill>
            <a:ln>
              <a:noFill/>
            </a:ln>
            <a:effectLst/>
          </c:spPr>
          <c:invertIfNegative val="0"/>
          <c:dPt>
            <c:idx val="1"/>
            <c:invertIfNegative val="0"/>
            <c:bubble3D val="0"/>
            <c:spPr>
              <a:solidFill>
                <a:srgbClr val="00B0F0"/>
              </a:solidFill>
              <a:ln>
                <a:noFill/>
              </a:ln>
              <a:effectLst/>
            </c:spPr>
          </c:dPt>
          <c:dPt>
            <c:idx val="3"/>
            <c:invertIfNegative val="0"/>
            <c:bubble3D val="0"/>
            <c:spPr>
              <a:solidFill>
                <a:srgbClr val="00B0F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multiLvlStrRef>
              <c:f>Sheet1!$D$27:$G$28</c:f>
              <c:multiLvlStrCache>
                <c:ptCount val="4"/>
                <c:lvl>
                  <c:pt idx="0">
                    <c:v>Pond 1</c:v>
                  </c:pt>
                  <c:pt idx="1">
                    <c:v>Pond 2</c:v>
                  </c:pt>
                  <c:pt idx="2">
                    <c:v>Pond A</c:v>
                  </c:pt>
                  <c:pt idx="3">
                    <c:v>Pond B</c:v>
                  </c:pt>
                </c:lvl>
                <c:lvl>
                  <c:pt idx="0">
                    <c:v>Site 1</c:v>
                  </c:pt>
                  <c:pt idx="2">
                    <c:v>Site 2</c:v>
                  </c:pt>
                </c:lvl>
              </c:multiLvlStrCache>
            </c:multiLvlStrRef>
          </c:cat>
          <c:val>
            <c:numRef>
              <c:f>Sheet1!$D$29:$G$29</c:f>
              <c:numCache>
                <c:formatCode>General</c:formatCode>
                <c:ptCount val="4"/>
                <c:pt idx="0">
                  <c:v>33.5</c:v>
                </c:pt>
                <c:pt idx="1">
                  <c:v>23.8</c:v>
                </c:pt>
                <c:pt idx="2">
                  <c:v>31.2</c:v>
                </c:pt>
                <c:pt idx="3">
                  <c:v>21.8</c:v>
                </c:pt>
              </c:numCache>
            </c:numRef>
          </c:val>
        </c:ser>
        <c:dLbls>
          <c:showLegendKey val="0"/>
          <c:showVal val="0"/>
          <c:showCatName val="0"/>
          <c:showSerName val="0"/>
          <c:showPercent val="0"/>
          <c:showBubbleSize val="0"/>
        </c:dLbls>
        <c:gapWidth val="100"/>
        <c:overlap val="-24"/>
        <c:axId val="1588144031"/>
        <c:axId val="1588131551"/>
      </c:barChart>
      <c:catAx>
        <c:axId val="15881440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2"/>
                </a:solidFill>
                <a:latin typeface="+mn-lt"/>
                <a:ea typeface="+mn-ea"/>
                <a:cs typeface="+mn-cs"/>
              </a:defRPr>
            </a:pPr>
          </a:p>
        </c:txPr>
        <c:crossAx val="1588131551"/>
        <c:crosses val="autoZero"/>
        <c:auto val="1"/>
        <c:lblAlgn val="ctr"/>
        <c:lblOffset val="100"/>
        <c:noMultiLvlLbl val="0"/>
      </c:catAx>
      <c:valAx>
        <c:axId val="158813155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1588144031"/>
        <c:crosses val="autoZero"/>
        <c:crossBetween val="between"/>
      </c:valAx>
      <c:spPr>
        <a:noFill/>
        <a:ln>
          <a:noFill/>
        </a:ln>
        <a:effectLst/>
      </c:spPr>
    </c:plotArea>
    <c:plotVisOnly val="1"/>
    <c:dispBlanksAs val="gap"/>
    <c:showDLblsOverMax val="0"/>
    <c:extLst>
      <c:ext uri="{0b15fc19-7d7d-44ad-8c2d-2c3a37ce22c3}">
        <chartProps xmlns="https://web.wps.cn/et/2018/main" chartId="{bd84f1ef-3ba3-4c77-b02c-8de76035c60b}"/>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p>
      </c:txPr>
    </c:title>
    <c:autoTitleDeleted val="0"/>
    <c:plotArea>
      <c:layout/>
      <c:barChart>
        <c:barDir val="col"/>
        <c:grouping val="clustered"/>
        <c:varyColors val="0"/>
        <c:ser>
          <c:idx val="0"/>
          <c:order val="0"/>
          <c:tx>
            <c:strRef>
              <c:f>Sheet1!$B$22</c:f>
              <c:strCache>
                <c:ptCount val="1"/>
                <c:pt idx="0">
                  <c:v>FCR</c:v>
                </c:pt>
              </c:strCache>
            </c:strRef>
          </c:tx>
          <c:spPr>
            <a:solidFill>
              <a:srgbClr val="FFFF00"/>
            </a:solidFill>
            <a:ln>
              <a:noFill/>
            </a:ln>
            <a:effectLst/>
          </c:spPr>
          <c:invertIfNegative val="0"/>
          <c:dPt>
            <c:idx val="1"/>
            <c:invertIfNegative val="0"/>
            <c:bubble3D val="0"/>
            <c:spPr>
              <a:solidFill>
                <a:srgbClr val="00B0F0"/>
              </a:solidFill>
              <a:ln>
                <a:noFill/>
              </a:ln>
              <a:effectLst/>
            </c:spPr>
          </c:dPt>
          <c:dPt>
            <c:idx val="3"/>
            <c:invertIfNegative val="0"/>
            <c:bubble3D val="0"/>
            <c:spPr>
              <a:solidFill>
                <a:srgbClr val="00B0F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multiLvlStrRef>
              <c:f>Sheet1!$C$20:$F$21</c:f>
              <c:multiLvlStrCache>
                <c:ptCount val="4"/>
                <c:lvl>
                  <c:pt idx="0">
                    <c:v>Pond 1</c:v>
                  </c:pt>
                  <c:pt idx="1">
                    <c:v>Pond 2</c:v>
                  </c:pt>
                  <c:pt idx="2">
                    <c:v>Pond A</c:v>
                  </c:pt>
                  <c:pt idx="3">
                    <c:v>Pond B</c:v>
                  </c:pt>
                </c:lvl>
                <c:lvl>
                  <c:pt idx="0">
                    <c:v>Site 1</c:v>
                  </c:pt>
                  <c:pt idx="2">
                    <c:v>Site 2</c:v>
                  </c:pt>
                </c:lvl>
              </c:multiLvlStrCache>
            </c:multiLvlStrRef>
          </c:cat>
          <c:val>
            <c:numRef>
              <c:f>Sheet1!$C$22:$F$22</c:f>
              <c:numCache>
                <c:formatCode>General</c:formatCode>
                <c:ptCount val="4"/>
                <c:pt idx="0">
                  <c:v>1.2</c:v>
                </c:pt>
                <c:pt idx="1">
                  <c:v>1.48</c:v>
                </c:pt>
                <c:pt idx="2">
                  <c:v>1.2</c:v>
                </c:pt>
                <c:pt idx="3">
                  <c:v>1.5</c:v>
                </c:pt>
              </c:numCache>
            </c:numRef>
          </c:val>
        </c:ser>
        <c:dLbls>
          <c:showLegendKey val="0"/>
          <c:showVal val="0"/>
          <c:showCatName val="0"/>
          <c:showSerName val="0"/>
          <c:showPercent val="0"/>
          <c:showBubbleSize val="0"/>
        </c:dLbls>
        <c:gapWidth val="100"/>
        <c:axId val="1595471615"/>
        <c:axId val="1595465791"/>
      </c:barChart>
      <c:catAx>
        <c:axId val="159547161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2"/>
                </a:solidFill>
                <a:latin typeface="+mn-lt"/>
                <a:ea typeface="+mn-ea"/>
                <a:cs typeface="+mn-cs"/>
              </a:defRPr>
            </a:pPr>
          </a:p>
        </c:txPr>
        <c:crossAx val="1595465791"/>
        <c:crosses val="autoZero"/>
        <c:auto val="1"/>
        <c:lblAlgn val="ctr"/>
        <c:lblOffset val="100"/>
        <c:noMultiLvlLbl val="0"/>
      </c:catAx>
      <c:valAx>
        <c:axId val="159546579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1595471615"/>
        <c:crosses val="autoZero"/>
        <c:crossBetween val="between"/>
      </c:valAx>
      <c:spPr>
        <a:noFill/>
        <a:ln>
          <a:noFill/>
        </a:ln>
        <a:effectLst/>
      </c:spPr>
    </c:plotArea>
    <c:plotVisOnly val="1"/>
    <c:dispBlanksAs val="gap"/>
    <c:showDLblsOverMax val="0"/>
    <c:extLst>
      <c:ext uri="{0b15fc19-7d7d-44ad-8c2d-2c3a37ce22c3}">
        <chartProps xmlns="https://web.wps.cn/et/2018/main" chartId="{6265b403-1b34-499c-b34e-5ecf1145f015}"/>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440" b="1"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Sheet1!$C$36</c:f>
              <c:strCache>
                <c:ptCount val="1"/>
                <c:pt idx="0">
                  <c:v>Total production</c:v>
                </c:pt>
              </c:strCache>
            </c:strRef>
          </c:tx>
          <c:spPr>
            <a:ln w="28575" cap="rnd">
              <a:solidFill>
                <a:schemeClr val="accent1"/>
              </a:solidFill>
              <a:round/>
            </a:ln>
            <a:effectLst/>
          </c:spPr>
          <c:marker>
            <c:symbol val="none"/>
          </c:marker>
          <c:dPt>
            <c:idx val="1"/>
            <c:marker>
              <c:symbol val="none"/>
            </c:marker>
            <c:bubble3D val="0"/>
            <c:spPr>
              <a:ln w="28575" cap="rnd">
                <a:solidFill>
                  <a:schemeClr val="accent1"/>
                </a:solidFill>
                <a:round/>
              </a:ln>
              <a:effectLst/>
            </c:spPr>
          </c:dPt>
          <c:dPt>
            <c:idx val="3"/>
            <c:marker>
              <c:symbol val="none"/>
            </c:marker>
            <c:bubble3D val="0"/>
            <c:spPr>
              <a:ln w="28575" cap="rnd">
                <a:solidFill>
                  <a:schemeClr val="accent1"/>
                </a:solidFill>
                <a:round/>
              </a:ln>
              <a:effectLst/>
            </c:spPr>
          </c:dPt>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Sheet1!$D$34:$G$35</c:f>
              <c:multiLvlStrCache>
                <c:ptCount val="4"/>
                <c:lvl>
                  <c:pt idx="0">
                    <c:v>Pond 1</c:v>
                  </c:pt>
                  <c:pt idx="1">
                    <c:v>Pond 2</c:v>
                  </c:pt>
                  <c:pt idx="2">
                    <c:v>Pond A</c:v>
                  </c:pt>
                  <c:pt idx="3">
                    <c:v>Pond B</c:v>
                  </c:pt>
                </c:lvl>
                <c:lvl>
                  <c:pt idx="0">
                    <c:v>Site 1</c:v>
                  </c:pt>
                  <c:pt idx="2">
                    <c:v>Site 2</c:v>
                  </c:pt>
                </c:lvl>
              </c:multiLvlStrCache>
            </c:multiLvlStrRef>
          </c:cat>
          <c:val>
            <c:numRef>
              <c:f>Sheet1!$D$36:$G$36</c:f>
              <c:numCache>
                <c:formatCode>General</c:formatCode>
                <c:ptCount val="4"/>
                <c:pt idx="0">
                  <c:v>11373</c:v>
                </c:pt>
                <c:pt idx="1">
                  <c:v>6080</c:v>
                </c:pt>
                <c:pt idx="2">
                  <c:v>10374</c:v>
                </c:pt>
                <c:pt idx="3">
                  <c:v>5341</c:v>
                </c:pt>
              </c:numCache>
            </c:numRef>
          </c:val>
          <c:smooth val="0"/>
        </c:ser>
        <c:dLbls>
          <c:showLegendKey val="0"/>
          <c:showVal val="0"/>
          <c:showCatName val="0"/>
          <c:showSerName val="0"/>
          <c:showPercent val="0"/>
          <c:showBubbleSize val="0"/>
        </c:dLbls>
        <c:marker val="0"/>
        <c:smooth val="0"/>
        <c:axId val="585982095"/>
        <c:axId val="585982927"/>
      </c:lineChart>
      <c:catAx>
        <c:axId val="58598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mn-lt"/>
                <a:ea typeface="+mn-ea"/>
                <a:cs typeface="+mn-cs"/>
              </a:defRPr>
            </a:pPr>
          </a:p>
        </c:txPr>
        <c:crossAx val="585982927"/>
        <c:crosses val="autoZero"/>
        <c:auto val="1"/>
        <c:lblAlgn val="ctr"/>
        <c:lblOffset val="100"/>
        <c:noMultiLvlLbl val="0"/>
      </c:catAx>
      <c:valAx>
        <c:axId val="585982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mn-lt"/>
                <a:ea typeface="+mn-ea"/>
                <a:cs typeface="+mn-cs"/>
              </a:defRPr>
            </a:pPr>
          </a:p>
        </c:txPr>
        <c:crossAx val="585982095"/>
        <c:crosses val="autoZero"/>
        <c:crossBetween val="between"/>
      </c:valAx>
      <c:spPr>
        <a:noFill/>
        <a:ln>
          <a:noFill/>
        </a:ln>
        <a:effectLst/>
      </c:spPr>
    </c:plotArea>
    <c:plotVisOnly val="1"/>
    <c:dispBlanksAs val="gap"/>
    <c:showDLblsOverMax val="0"/>
    <c:extLst>
      <c:ext uri="{0b15fc19-7d7d-44ad-8c2d-2c3a37ce22c3}">
        <chartProps xmlns="https://web.wps.cn/et/2018/main" chartId="{ed79faa4-5be2-466a-9710-8c24d9d340ce}"/>
      </c:ext>
    </c:extLst>
  </c:chart>
  <c:spPr>
    <a:solidFill>
      <a:schemeClr val="bg1"/>
    </a:solidFill>
    <a:ln w="9525" cap="flat" cmpd="sng" algn="ctr">
      <a:solidFill>
        <a:schemeClr val="tx1">
          <a:lumMod val="15000"/>
          <a:lumOff val="85000"/>
        </a:schemeClr>
      </a:solidFill>
      <a:round/>
    </a:ln>
    <a:effectLst/>
  </c:spPr>
  <c:txPr>
    <a:bodyPr/>
    <a:lstStyle/>
    <a:p>
      <a:pPr>
        <a:defRPr lang="en-US" sz="12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3316</Words>
  <Characters>18906</Characters>
  <Lines>157</Lines>
  <Paragraphs>44</Paragraphs>
  <TotalTime>31</TotalTime>
  <ScaleCrop>false</ScaleCrop>
  <LinksUpToDate>false</LinksUpToDate>
  <CharactersWithSpaces>22178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2025-11-24T14:47:00Z</dcterms:created>
  <dc:creator>Gunalan</dc:creator>
  <cp:lastModifiedBy>Scrip</cp:lastModifiedBy>
  <dcterms:modified xsi:type="dcterms:W3CDTF">2026-02-14T10:22:54Z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A099A48D85954FCEAFF1DEB2D39BF281_12</vt:lpwstr>
  </property>
</Properties>
</file>